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F2E46" w:rsidRPr="001E1B44" w:rsidRDefault="009F2E46" w:rsidP="00684286">
      <w:pPr>
        <w:pStyle w:val="Title"/>
        <w:rPr>
          <w:rFonts w:ascii="Century Gothic" w:hAnsi="Century Gothic"/>
          <w:lang w:val="en-US"/>
        </w:rPr>
      </w:pPr>
    </w:p>
    <w:p w14:paraId="0A37501D" w14:textId="77777777" w:rsidR="009F2E46" w:rsidRPr="001E1B44" w:rsidRDefault="009F2E46" w:rsidP="00684286">
      <w:pPr>
        <w:pStyle w:val="Title"/>
        <w:rPr>
          <w:rFonts w:ascii="Century Gothic" w:hAnsi="Century Gothic"/>
          <w:lang w:val="en-US"/>
        </w:rPr>
      </w:pPr>
    </w:p>
    <w:p w14:paraId="386BFC6B" w14:textId="77777777" w:rsidR="008B6CBB" w:rsidRPr="001E1B44" w:rsidRDefault="009600CF" w:rsidP="001E1B44">
      <w:pPr>
        <w:pStyle w:val="Title"/>
        <w:rPr>
          <w:rFonts w:ascii="Century Gothic" w:hAnsi="Century Gothic"/>
          <w:b/>
          <w:lang w:val="en-US"/>
        </w:rPr>
      </w:pPr>
      <w:r>
        <w:rPr>
          <w:rFonts w:ascii="Century Gothic" w:hAnsi="Century Gothic"/>
          <w:b/>
          <w:lang w:val="en-US"/>
        </w:rPr>
        <w:t>Whistleblowing</w:t>
      </w:r>
      <w:r w:rsidR="00C37493">
        <w:rPr>
          <w:rFonts w:ascii="Century Gothic" w:hAnsi="Century Gothic"/>
          <w:b/>
          <w:lang w:val="en-US"/>
        </w:rPr>
        <w:t xml:space="preserve"> Policy</w:t>
      </w:r>
    </w:p>
    <w:p w14:paraId="5DAB6C7B" w14:textId="77777777" w:rsidR="00514072" w:rsidRPr="001E1B44" w:rsidRDefault="00514072" w:rsidP="00684286">
      <w:pPr>
        <w:rPr>
          <w:rFonts w:ascii="Century Gothic" w:hAnsi="Century Gothic"/>
          <w:lang w:val="en-US"/>
        </w:rPr>
      </w:pPr>
    </w:p>
    <w:p w14:paraId="02EB378F" w14:textId="77777777" w:rsidR="00514072" w:rsidRPr="001E1B44" w:rsidRDefault="00514072" w:rsidP="00684286">
      <w:pPr>
        <w:rPr>
          <w:rFonts w:ascii="Century Gothic" w:hAnsi="Century Gothic"/>
          <w:lang w:val="en-US"/>
        </w:rPr>
      </w:pPr>
    </w:p>
    <w:p w14:paraId="6A05A809" w14:textId="77777777" w:rsidR="00514072" w:rsidRPr="001E1B44" w:rsidRDefault="00514072" w:rsidP="00684286">
      <w:pPr>
        <w:rPr>
          <w:rFonts w:ascii="Century Gothic" w:hAnsi="Century Gothic"/>
          <w:lang w:val="en-US"/>
        </w:rPr>
      </w:pPr>
    </w:p>
    <w:p w14:paraId="5A39BBE3" w14:textId="77777777" w:rsidR="00514072" w:rsidRPr="001E1B44" w:rsidRDefault="00514072" w:rsidP="00684286">
      <w:pPr>
        <w:rPr>
          <w:rFonts w:ascii="Century Gothic" w:hAnsi="Century Gothic"/>
          <w:lang w:val="en-US"/>
        </w:rPr>
      </w:pPr>
    </w:p>
    <w:p w14:paraId="41C8F396" w14:textId="77777777" w:rsidR="00514072" w:rsidRPr="001E1B44" w:rsidRDefault="00514072" w:rsidP="00684286">
      <w:pPr>
        <w:rPr>
          <w:rFonts w:ascii="Century Gothic" w:hAnsi="Century Gothic"/>
          <w:lang w:val="en-US"/>
        </w:rPr>
      </w:pPr>
    </w:p>
    <w:p w14:paraId="72A3D3EC" w14:textId="77777777" w:rsidR="00514072" w:rsidRPr="001E1B44" w:rsidRDefault="00514072" w:rsidP="00684286">
      <w:pPr>
        <w:rPr>
          <w:rFonts w:ascii="Century Gothic" w:hAnsi="Century Gothic"/>
          <w:lang w:val="en-US"/>
        </w:rPr>
      </w:pPr>
    </w:p>
    <w:p w14:paraId="0D0B940D" w14:textId="77777777" w:rsidR="00514072" w:rsidRPr="001E1B44" w:rsidRDefault="00514072" w:rsidP="00684286">
      <w:pPr>
        <w:rPr>
          <w:rFonts w:ascii="Century Gothic" w:hAnsi="Century Gothic"/>
          <w:lang w:val="en-US"/>
        </w:rPr>
      </w:pPr>
    </w:p>
    <w:p w14:paraId="0E27B00A" w14:textId="77777777" w:rsidR="004E55AE" w:rsidRPr="001E1B44" w:rsidRDefault="004E55AE" w:rsidP="00684286">
      <w:pPr>
        <w:rPr>
          <w:rFonts w:ascii="Century Gothic" w:hAnsi="Century Gothic"/>
          <w:lang w:val="en-US"/>
        </w:rPr>
      </w:pPr>
    </w:p>
    <w:p w14:paraId="60061E4C" w14:textId="77777777" w:rsidR="004E55AE" w:rsidRPr="001E1B44" w:rsidRDefault="004E55AE" w:rsidP="00684286">
      <w:pPr>
        <w:rPr>
          <w:rFonts w:ascii="Century Gothic" w:hAnsi="Century Gothic"/>
          <w:lang w:val="en-US"/>
        </w:rPr>
      </w:pPr>
    </w:p>
    <w:p w14:paraId="44EAFD9C" w14:textId="77777777" w:rsidR="004E55AE" w:rsidRPr="001E1B44" w:rsidRDefault="004E55AE" w:rsidP="00684286">
      <w:pPr>
        <w:rPr>
          <w:rFonts w:ascii="Century Gothic" w:hAnsi="Century Gothic"/>
          <w:lang w:val="en-US"/>
        </w:rPr>
      </w:pPr>
    </w:p>
    <w:p w14:paraId="4B94D5A5" w14:textId="77777777" w:rsidR="004E55AE" w:rsidRPr="001E1B44" w:rsidRDefault="004E55AE" w:rsidP="00684286">
      <w:pPr>
        <w:rPr>
          <w:rFonts w:ascii="Century Gothic" w:hAnsi="Century Gothic"/>
          <w:lang w:val="en-US"/>
        </w:rPr>
      </w:pPr>
    </w:p>
    <w:p w14:paraId="3DEEC669" w14:textId="77777777" w:rsidR="004E55AE" w:rsidRPr="001E1B44" w:rsidRDefault="004E55AE" w:rsidP="00684286">
      <w:pPr>
        <w:rPr>
          <w:rFonts w:ascii="Century Gothic" w:hAnsi="Century Gothic"/>
          <w:lang w:val="en-US"/>
        </w:rPr>
      </w:pPr>
    </w:p>
    <w:p w14:paraId="3656B9AB" w14:textId="77777777" w:rsidR="003A1200" w:rsidRDefault="003A1200" w:rsidP="00684286">
      <w:pPr>
        <w:rPr>
          <w:rFonts w:ascii="Century Gothic" w:hAnsi="Century Gothic"/>
          <w:lang w:val="en-US"/>
        </w:rPr>
      </w:pPr>
    </w:p>
    <w:p w14:paraId="45FB0818" w14:textId="77777777" w:rsidR="003A1200" w:rsidRDefault="003A1200" w:rsidP="00684286">
      <w:pPr>
        <w:rPr>
          <w:rFonts w:ascii="Century Gothic" w:hAnsi="Century Gothic"/>
          <w:lang w:val="en-US"/>
        </w:rPr>
      </w:pPr>
    </w:p>
    <w:p w14:paraId="049F31CB"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7A124628" w14:textId="77777777" w:rsidTr="18B166E7">
        <w:tc>
          <w:tcPr>
            <w:tcW w:w="2689" w:type="dxa"/>
            <w:shd w:val="clear" w:color="auto" w:fill="290076"/>
          </w:tcPr>
          <w:p w14:paraId="7C723D46"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5694687B" w14:textId="77777777" w:rsidR="004E55AE" w:rsidRPr="001E1B44" w:rsidRDefault="004E2770" w:rsidP="00684286">
            <w:pPr>
              <w:rPr>
                <w:rFonts w:ascii="Century Gothic" w:hAnsi="Century Gothic"/>
                <w:sz w:val="20"/>
                <w:szCs w:val="20"/>
                <w:lang w:val="en-US"/>
              </w:rPr>
            </w:pPr>
            <w:r>
              <w:rPr>
                <w:rFonts w:ascii="Century Gothic" w:hAnsi="Century Gothic"/>
                <w:sz w:val="20"/>
                <w:szCs w:val="20"/>
                <w:lang w:val="en-US"/>
              </w:rPr>
              <w:t xml:space="preserve">Managing </w:t>
            </w:r>
            <w:r w:rsidR="00A51D45">
              <w:rPr>
                <w:rFonts w:ascii="Century Gothic" w:hAnsi="Century Gothic"/>
                <w:sz w:val="20"/>
                <w:szCs w:val="20"/>
                <w:lang w:val="en-US"/>
              </w:rPr>
              <w:t>Director</w:t>
            </w:r>
          </w:p>
        </w:tc>
      </w:tr>
      <w:tr w:rsidR="004E55AE" w:rsidRPr="001E1B44" w14:paraId="74DA5ED1" w14:textId="77777777" w:rsidTr="18B166E7">
        <w:tc>
          <w:tcPr>
            <w:tcW w:w="2689" w:type="dxa"/>
            <w:shd w:val="clear" w:color="auto" w:fill="290076"/>
          </w:tcPr>
          <w:p w14:paraId="0391AE51"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4FED3720" w14:textId="47926689" w:rsidR="004E55AE" w:rsidRPr="001E1B44" w:rsidRDefault="000B3D71" w:rsidP="00684286">
            <w:pPr>
              <w:rPr>
                <w:rFonts w:ascii="Century Gothic" w:hAnsi="Century Gothic"/>
                <w:sz w:val="20"/>
                <w:szCs w:val="20"/>
                <w:lang w:val="en-US"/>
              </w:rPr>
            </w:pPr>
            <w:r>
              <w:rPr>
                <w:rFonts w:ascii="Century Gothic" w:hAnsi="Century Gothic"/>
                <w:sz w:val="20"/>
                <w:szCs w:val="20"/>
                <w:lang w:val="en-US"/>
              </w:rPr>
              <w:t>November 202</w:t>
            </w:r>
            <w:r w:rsidR="00D51B74">
              <w:rPr>
                <w:rFonts w:ascii="Century Gothic" w:hAnsi="Century Gothic"/>
                <w:sz w:val="20"/>
                <w:szCs w:val="20"/>
                <w:lang w:val="en-US"/>
              </w:rPr>
              <w:t>5</w:t>
            </w:r>
          </w:p>
        </w:tc>
      </w:tr>
      <w:tr w:rsidR="004E55AE" w:rsidRPr="001E1B44" w14:paraId="41753A89" w14:textId="77777777" w:rsidTr="18B166E7">
        <w:tc>
          <w:tcPr>
            <w:tcW w:w="2689" w:type="dxa"/>
            <w:shd w:val="clear" w:color="auto" w:fill="290076"/>
          </w:tcPr>
          <w:p w14:paraId="344E841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1007FC44" w14:textId="77777777" w:rsidR="004E55AE" w:rsidRPr="001E1B44" w:rsidRDefault="004E2770" w:rsidP="004E2770">
            <w:pPr>
              <w:rPr>
                <w:rFonts w:ascii="Century Gothic" w:hAnsi="Century Gothic"/>
                <w:sz w:val="20"/>
                <w:szCs w:val="20"/>
                <w:lang w:val="en-US"/>
              </w:rPr>
            </w:pPr>
            <w:r>
              <w:rPr>
                <w:rFonts w:ascii="Century Gothic" w:hAnsi="Century Gothic"/>
                <w:sz w:val="20"/>
                <w:szCs w:val="20"/>
                <w:lang w:val="en-US"/>
              </w:rPr>
              <w:t xml:space="preserve">C Mincher – </w:t>
            </w:r>
            <w:proofErr w:type="gramStart"/>
            <w:r>
              <w:rPr>
                <w:rFonts w:ascii="Century Gothic" w:hAnsi="Century Gothic"/>
                <w:sz w:val="20"/>
                <w:szCs w:val="20"/>
                <w:lang w:val="en-US"/>
              </w:rPr>
              <w:t xml:space="preserve">Managing </w:t>
            </w:r>
            <w:r w:rsidR="00765D9A">
              <w:rPr>
                <w:rFonts w:ascii="Century Gothic" w:hAnsi="Century Gothic"/>
                <w:sz w:val="20"/>
                <w:szCs w:val="20"/>
                <w:lang w:val="en-US"/>
              </w:rPr>
              <w:t xml:space="preserve"> Director</w:t>
            </w:r>
            <w:proofErr w:type="gramEnd"/>
          </w:p>
        </w:tc>
      </w:tr>
      <w:tr w:rsidR="004E55AE" w:rsidRPr="001E1B44" w14:paraId="61B787C4" w14:textId="77777777" w:rsidTr="18B166E7">
        <w:tc>
          <w:tcPr>
            <w:tcW w:w="2689" w:type="dxa"/>
            <w:shd w:val="clear" w:color="auto" w:fill="290076"/>
          </w:tcPr>
          <w:p w14:paraId="3BE1029C"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68A2E301" w14:textId="4AF91035" w:rsidR="004E55AE" w:rsidRPr="001E1B44" w:rsidRDefault="0F0761BD" w:rsidP="00684286">
            <w:pPr>
              <w:rPr>
                <w:rFonts w:ascii="Century Gothic" w:hAnsi="Century Gothic"/>
                <w:sz w:val="20"/>
                <w:szCs w:val="20"/>
                <w:lang w:val="en-US"/>
              </w:rPr>
            </w:pPr>
            <w:r w:rsidRPr="18B166E7">
              <w:rPr>
                <w:rFonts w:ascii="Century Gothic" w:hAnsi="Century Gothic"/>
                <w:sz w:val="20"/>
                <w:szCs w:val="20"/>
                <w:lang w:val="en-US"/>
              </w:rPr>
              <w:t>November 202</w:t>
            </w:r>
            <w:r w:rsidR="00D51B74">
              <w:rPr>
                <w:rFonts w:ascii="Century Gothic" w:hAnsi="Century Gothic"/>
                <w:sz w:val="20"/>
                <w:szCs w:val="20"/>
                <w:lang w:val="en-US"/>
              </w:rPr>
              <w:t>3</w:t>
            </w:r>
          </w:p>
        </w:tc>
      </w:tr>
      <w:tr w:rsidR="004E55AE" w:rsidRPr="001E1B44" w14:paraId="286C856C" w14:textId="77777777" w:rsidTr="18B166E7">
        <w:tc>
          <w:tcPr>
            <w:tcW w:w="2689" w:type="dxa"/>
            <w:shd w:val="clear" w:color="auto" w:fill="290076"/>
          </w:tcPr>
          <w:p w14:paraId="3A4C96F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1BE2C42D" w14:textId="0AAE16A1" w:rsidR="004E55AE" w:rsidRPr="001E1B44" w:rsidRDefault="63981E4E" w:rsidP="00684286">
            <w:pPr>
              <w:rPr>
                <w:rFonts w:ascii="Century Gothic" w:hAnsi="Century Gothic"/>
                <w:sz w:val="20"/>
                <w:szCs w:val="20"/>
                <w:lang w:val="en-US"/>
              </w:rPr>
            </w:pPr>
            <w:r w:rsidRPr="18B166E7">
              <w:rPr>
                <w:rFonts w:ascii="Century Gothic" w:hAnsi="Century Gothic"/>
                <w:sz w:val="20"/>
                <w:szCs w:val="20"/>
                <w:lang w:val="en-US"/>
              </w:rPr>
              <w:t>November 202</w:t>
            </w:r>
            <w:r w:rsidR="0881CA96" w:rsidRPr="18B166E7">
              <w:rPr>
                <w:rFonts w:ascii="Century Gothic" w:hAnsi="Century Gothic"/>
                <w:sz w:val="20"/>
                <w:szCs w:val="20"/>
                <w:lang w:val="en-US"/>
              </w:rPr>
              <w:t>7</w:t>
            </w:r>
          </w:p>
        </w:tc>
      </w:tr>
    </w:tbl>
    <w:p w14:paraId="53128261" w14:textId="77777777" w:rsidR="00461F6F" w:rsidRPr="001E1B44" w:rsidRDefault="00461F6F" w:rsidP="00684286">
      <w:pPr>
        <w:rPr>
          <w:rFonts w:ascii="Century Gothic" w:hAnsi="Century Gothic" w:cs="Tahoma"/>
          <w:color w:val="290076"/>
          <w:lang w:eastAsia="en-GB"/>
        </w:rPr>
      </w:pPr>
    </w:p>
    <w:p w14:paraId="5F5038AD"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14:paraId="72A49FCE" w14:textId="77777777" w:rsidTr="18B166E7">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69069E05"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491072FA"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296E627D"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214437C8"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4F747133" w14:textId="77777777" w:rsidTr="18B166E7">
        <w:tc>
          <w:tcPr>
            <w:tcW w:w="795" w:type="pct"/>
            <w:tcBorders>
              <w:top w:val="single" w:sz="4" w:space="0" w:color="auto"/>
              <w:left w:val="single" w:sz="4" w:space="0" w:color="auto"/>
              <w:bottom w:val="single" w:sz="4" w:space="0" w:color="auto"/>
              <w:right w:val="single" w:sz="4" w:space="0" w:color="auto"/>
            </w:tcBorders>
          </w:tcPr>
          <w:p w14:paraId="649841BE" w14:textId="77777777" w:rsidR="004E55AE" w:rsidRPr="0099550C" w:rsidRDefault="00610AF9" w:rsidP="00684286">
            <w:pPr>
              <w:spacing w:after="0" w:line="240" w:lineRule="auto"/>
              <w:rPr>
                <w:rFonts w:ascii="Century Gothic" w:eastAsia="Calibri" w:hAnsi="Century Gothic" w:cs="Tahoma"/>
              </w:rPr>
            </w:pPr>
            <w:r w:rsidRPr="0099550C">
              <w:rPr>
                <w:rFonts w:ascii="Century Gothic" w:eastAsia="Calibri" w:hAnsi="Century Gothic" w:cs="Tahoma"/>
              </w:rPr>
              <w:t>1</w:t>
            </w:r>
          </w:p>
        </w:tc>
        <w:tc>
          <w:tcPr>
            <w:tcW w:w="881" w:type="pct"/>
            <w:tcBorders>
              <w:top w:val="single" w:sz="4" w:space="0" w:color="auto"/>
              <w:left w:val="single" w:sz="4" w:space="0" w:color="auto"/>
              <w:bottom w:val="single" w:sz="4" w:space="0" w:color="auto"/>
              <w:right w:val="single" w:sz="4" w:space="0" w:color="auto"/>
            </w:tcBorders>
          </w:tcPr>
          <w:p w14:paraId="2E2D8223" w14:textId="77777777" w:rsidR="004E55AE" w:rsidRPr="0099550C" w:rsidRDefault="00610AF9" w:rsidP="00684286">
            <w:pPr>
              <w:spacing w:after="0" w:line="240" w:lineRule="auto"/>
              <w:rPr>
                <w:rFonts w:ascii="Century Gothic" w:eastAsia="Calibri" w:hAnsi="Century Gothic" w:cs="Tahoma"/>
              </w:rPr>
            </w:pPr>
            <w:r w:rsidRPr="0099550C">
              <w:rPr>
                <w:rFonts w:ascii="Century Gothic" w:eastAsia="Calibri" w:hAnsi="Century Gothic" w:cs="Tahoma"/>
              </w:rPr>
              <w:t>Nov 2023</w:t>
            </w:r>
          </w:p>
        </w:tc>
        <w:tc>
          <w:tcPr>
            <w:tcW w:w="2384" w:type="pct"/>
            <w:tcBorders>
              <w:top w:val="single" w:sz="4" w:space="0" w:color="auto"/>
              <w:left w:val="single" w:sz="4" w:space="0" w:color="auto"/>
              <w:bottom w:val="single" w:sz="4" w:space="0" w:color="auto"/>
              <w:right w:val="single" w:sz="4" w:space="0" w:color="auto"/>
            </w:tcBorders>
          </w:tcPr>
          <w:p w14:paraId="3A1F0080" w14:textId="77777777" w:rsidR="004E55AE" w:rsidRPr="0099550C" w:rsidRDefault="00610AF9" w:rsidP="00684286">
            <w:pPr>
              <w:spacing w:after="0" w:line="240" w:lineRule="auto"/>
              <w:rPr>
                <w:rFonts w:ascii="Century Gothic" w:eastAsia="Calibri" w:hAnsi="Century Gothic" w:cs="Tahoma"/>
              </w:rPr>
            </w:pPr>
            <w:r w:rsidRPr="0099550C">
              <w:rPr>
                <w:rFonts w:ascii="Century Gothic" w:eastAsia="Calibri" w:hAnsi="Century Gothic" w:cs="Tahoma"/>
              </w:rPr>
              <w:t>Full policy review and updated onto new template</w:t>
            </w:r>
          </w:p>
        </w:tc>
        <w:tc>
          <w:tcPr>
            <w:tcW w:w="939" w:type="pct"/>
            <w:tcBorders>
              <w:top w:val="single" w:sz="4" w:space="0" w:color="auto"/>
              <w:left w:val="single" w:sz="4" w:space="0" w:color="auto"/>
              <w:bottom w:val="single" w:sz="4" w:space="0" w:color="auto"/>
              <w:right w:val="single" w:sz="4" w:space="0" w:color="auto"/>
            </w:tcBorders>
          </w:tcPr>
          <w:p w14:paraId="34BB7BCA" w14:textId="77777777" w:rsidR="004E55AE" w:rsidRPr="0099550C" w:rsidRDefault="00610AF9" w:rsidP="00684286">
            <w:pPr>
              <w:spacing w:after="0" w:line="240" w:lineRule="auto"/>
              <w:rPr>
                <w:rFonts w:ascii="Century Gothic" w:eastAsia="Calibri" w:hAnsi="Century Gothic" w:cs="Tahoma"/>
              </w:rPr>
            </w:pPr>
            <w:r w:rsidRPr="0099550C">
              <w:rPr>
                <w:rFonts w:ascii="Century Gothic" w:eastAsia="Calibri" w:hAnsi="Century Gothic" w:cs="Tahoma"/>
              </w:rPr>
              <w:t>CM</w:t>
            </w:r>
          </w:p>
        </w:tc>
      </w:tr>
      <w:tr w:rsidR="004E55AE" w:rsidRPr="001E1B44" w14:paraId="62486C05" w14:textId="77777777" w:rsidTr="18B166E7">
        <w:tc>
          <w:tcPr>
            <w:tcW w:w="795" w:type="pct"/>
            <w:tcBorders>
              <w:top w:val="single" w:sz="4" w:space="0" w:color="auto"/>
              <w:left w:val="single" w:sz="4" w:space="0" w:color="auto"/>
              <w:bottom w:val="single" w:sz="4" w:space="0" w:color="auto"/>
              <w:right w:val="single" w:sz="4" w:space="0" w:color="auto"/>
            </w:tcBorders>
          </w:tcPr>
          <w:p w14:paraId="4101652C" w14:textId="05FE3F3F" w:rsidR="004E55AE" w:rsidRPr="0099550C" w:rsidRDefault="55E3A8A1" w:rsidP="00684286">
            <w:pPr>
              <w:spacing w:after="0" w:line="240" w:lineRule="auto"/>
              <w:rPr>
                <w:rFonts w:ascii="Century Gothic" w:eastAsia="Calibri" w:hAnsi="Century Gothic" w:cs="Tahoma"/>
              </w:rPr>
            </w:pPr>
            <w:r w:rsidRPr="0099550C">
              <w:rPr>
                <w:rFonts w:ascii="Century Gothic" w:eastAsia="Calibri" w:hAnsi="Century Gothic" w:cs="Tahoma"/>
              </w:rPr>
              <w:t>2</w:t>
            </w:r>
          </w:p>
        </w:tc>
        <w:tc>
          <w:tcPr>
            <w:tcW w:w="881" w:type="pct"/>
            <w:tcBorders>
              <w:top w:val="single" w:sz="4" w:space="0" w:color="auto"/>
              <w:left w:val="single" w:sz="4" w:space="0" w:color="auto"/>
              <w:bottom w:val="single" w:sz="4" w:space="0" w:color="auto"/>
              <w:right w:val="single" w:sz="4" w:space="0" w:color="auto"/>
            </w:tcBorders>
          </w:tcPr>
          <w:p w14:paraId="4B99056E" w14:textId="316CD44E" w:rsidR="004E55AE" w:rsidRPr="0099550C" w:rsidRDefault="55E3A8A1" w:rsidP="00684286">
            <w:pPr>
              <w:spacing w:after="0" w:line="240" w:lineRule="auto"/>
              <w:rPr>
                <w:rFonts w:ascii="Century Gothic" w:eastAsia="Calibri" w:hAnsi="Century Gothic" w:cs="Tahoma"/>
              </w:rPr>
            </w:pPr>
            <w:r w:rsidRPr="0099550C">
              <w:rPr>
                <w:rFonts w:ascii="Century Gothic" w:eastAsia="Calibri" w:hAnsi="Century Gothic" w:cs="Tahoma"/>
              </w:rPr>
              <w:t>Nov 2025</w:t>
            </w:r>
          </w:p>
        </w:tc>
        <w:tc>
          <w:tcPr>
            <w:tcW w:w="2384" w:type="pct"/>
            <w:tcBorders>
              <w:top w:val="single" w:sz="4" w:space="0" w:color="auto"/>
              <w:left w:val="single" w:sz="4" w:space="0" w:color="auto"/>
              <w:bottom w:val="single" w:sz="4" w:space="0" w:color="auto"/>
              <w:right w:val="single" w:sz="4" w:space="0" w:color="auto"/>
            </w:tcBorders>
          </w:tcPr>
          <w:p w14:paraId="1299C43A" w14:textId="5960FDD7" w:rsidR="004E55AE" w:rsidRPr="0099550C" w:rsidRDefault="55E3A8A1" w:rsidP="00684286">
            <w:pPr>
              <w:spacing w:after="0" w:line="240" w:lineRule="auto"/>
              <w:rPr>
                <w:rFonts w:ascii="Century Gothic" w:eastAsia="Calibri" w:hAnsi="Century Gothic" w:cs="Tahoma"/>
              </w:rPr>
            </w:pPr>
            <w:r w:rsidRPr="0099550C">
              <w:rPr>
                <w:rFonts w:ascii="Century Gothic" w:eastAsia="Calibri" w:hAnsi="Century Gothic" w:cs="Tahoma"/>
              </w:rPr>
              <w:t>Removed reference to Head of Finance &amp; Operations</w:t>
            </w:r>
            <w:r w:rsidR="621709BA" w:rsidRPr="0099550C">
              <w:rPr>
                <w:rFonts w:ascii="Century Gothic" w:eastAsia="Calibri" w:hAnsi="Century Gothic" w:cs="Tahoma"/>
              </w:rPr>
              <w:t>, specified that HR relates to BCoT HR.</w:t>
            </w:r>
          </w:p>
        </w:tc>
        <w:tc>
          <w:tcPr>
            <w:tcW w:w="939" w:type="pct"/>
            <w:tcBorders>
              <w:top w:val="single" w:sz="4" w:space="0" w:color="auto"/>
              <w:left w:val="single" w:sz="4" w:space="0" w:color="auto"/>
              <w:bottom w:val="single" w:sz="4" w:space="0" w:color="auto"/>
              <w:right w:val="single" w:sz="4" w:space="0" w:color="auto"/>
            </w:tcBorders>
          </w:tcPr>
          <w:p w14:paraId="4DDBEF00" w14:textId="3F916DF0" w:rsidR="004E55AE" w:rsidRPr="0099550C" w:rsidRDefault="55E3A8A1" w:rsidP="00684286">
            <w:pPr>
              <w:spacing w:after="0" w:line="240" w:lineRule="auto"/>
              <w:rPr>
                <w:rFonts w:ascii="Century Gothic" w:eastAsia="Calibri" w:hAnsi="Century Gothic" w:cs="Tahoma"/>
              </w:rPr>
            </w:pPr>
            <w:r w:rsidRPr="0099550C">
              <w:rPr>
                <w:rFonts w:ascii="Century Gothic" w:eastAsia="Calibri" w:hAnsi="Century Gothic" w:cs="Tahoma"/>
              </w:rPr>
              <w:t>CM</w:t>
            </w:r>
          </w:p>
        </w:tc>
      </w:tr>
      <w:tr w:rsidR="004E55AE" w:rsidRPr="001E1B44" w14:paraId="3461D779" w14:textId="77777777" w:rsidTr="18B166E7">
        <w:tc>
          <w:tcPr>
            <w:tcW w:w="795" w:type="pct"/>
            <w:tcBorders>
              <w:top w:val="single" w:sz="4" w:space="0" w:color="auto"/>
              <w:left w:val="single" w:sz="4" w:space="0" w:color="auto"/>
              <w:bottom w:val="single" w:sz="4" w:space="0" w:color="auto"/>
              <w:right w:val="single" w:sz="4" w:space="0" w:color="auto"/>
            </w:tcBorders>
          </w:tcPr>
          <w:p w14:paraId="3CF2D8B6" w14:textId="77777777"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14:paraId="0FB78278" w14:textId="77777777"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1FC39945"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0562CB0E" w14:textId="77777777" w:rsidR="004E55AE" w:rsidRPr="001E1B44" w:rsidRDefault="004E55AE" w:rsidP="00684286">
            <w:pPr>
              <w:spacing w:after="0" w:line="240" w:lineRule="auto"/>
              <w:rPr>
                <w:rFonts w:ascii="Century Gothic" w:eastAsia="Calibri" w:hAnsi="Century Gothic" w:cs="Tahoma"/>
                <w:sz w:val="18"/>
                <w:szCs w:val="18"/>
              </w:rPr>
            </w:pPr>
          </w:p>
        </w:tc>
      </w:tr>
    </w:tbl>
    <w:p w14:paraId="406425CA"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2847D7A1" w14:textId="77777777" w:rsidR="00A51D45"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571746" w:history="1">
        <w:r w:rsidR="00A51D45" w:rsidRPr="00003AFC">
          <w:rPr>
            <w:rStyle w:val="Hyperlink"/>
            <w:rFonts w:ascii="Century Gothic" w:hAnsi="Century Gothic" w:cs="Tahoma"/>
            <w:noProof/>
          </w:rPr>
          <w:t>1.</w:t>
        </w:r>
        <w:r w:rsidR="00A51D45">
          <w:rPr>
            <w:rFonts w:asciiTheme="minorHAnsi" w:eastAsiaTheme="minorEastAsia" w:hAnsiTheme="minorHAnsi" w:cstheme="minorBidi"/>
            <w:noProof/>
            <w:sz w:val="22"/>
            <w:szCs w:val="22"/>
            <w:lang w:val="en-GB" w:eastAsia="en-GB"/>
          </w:rPr>
          <w:tab/>
        </w:r>
        <w:r w:rsidR="00A51D45" w:rsidRPr="00003AFC">
          <w:rPr>
            <w:rStyle w:val="Hyperlink"/>
            <w:rFonts w:ascii="Century Gothic" w:hAnsi="Century Gothic" w:cs="Tahoma"/>
            <w:noProof/>
          </w:rPr>
          <w:t>Introduction</w:t>
        </w:r>
        <w:r w:rsidR="00A51D45">
          <w:rPr>
            <w:noProof/>
            <w:webHidden/>
          </w:rPr>
          <w:tab/>
        </w:r>
        <w:r w:rsidR="00A51D45">
          <w:rPr>
            <w:noProof/>
            <w:webHidden/>
          </w:rPr>
          <w:fldChar w:fldCharType="begin"/>
        </w:r>
        <w:r w:rsidR="00A51D45">
          <w:rPr>
            <w:noProof/>
            <w:webHidden/>
          </w:rPr>
          <w:instrText xml:space="preserve"> PAGEREF _Toc149571746 \h </w:instrText>
        </w:r>
        <w:r w:rsidR="00A51D45">
          <w:rPr>
            <w:noProof/>
            <w:webHidden/>
          </w:rPr>
        </w:r>
        <w:r w:rsidR="00A51D45">
          <w:rPr>
            <w:noProof/>
            <w:webHidden/>
          </w:rPr>
          <w:fldChar w:fldCharType="separate"/>
        </w:r>
        <w:r w:rsidR="00A51D45">
          <w:rPr>
            <w:noProof/>
            <w:webHidden/>
          </w:rPr>
          <w:t>2</w:t>
        </w:r>
        <w:r w:rsidR="00A51D45">
          <w:rPr>
            <w:noProof/>
            <w:webHidden/>
          </w:rPr>
          <w:fldChar w:fldCharType="end"/>
        </w:r>
      </w:hyperlink>
    </w:p>
    <w:p w14:paraId="0FEF0D1F"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47" w:history="1">
        <w:r w:rsidRPr="00003AFC">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Background</w:t>
        </w:r>
        <w:r>
          <w:rPr>
            <w:noProof/>
            <w:webHidden/>
          </w:rPr>
          <w:tab/>
        </w:r>
        <w:r>
          <w:rPr>
            <w:noProof/>
            <w:webHidden/>
          </w:rPr>
          <w:fldChar w:fldCharType="begin"/>
        </w:r>
        <w:r>
          <w:rPr>
            <w:noProof/>
            <w:webHidden/>
          </w:rPr>
          <w:instrText xml:space="preserve"> PAGEREF _Toc149571747 \h </w:instrText>
        </w:r>
        <w:r>
          <w:rPr>
            <w:noProof/>
            <w:webHidden/>
          </w:rPr>
        </w:r>
        <w:r>
          <w:rPr>
            <w:noProof/>
            <w:webHidden/>
          </w:rPr>
          <w:fldChar w:fldCharType="separate"/>
        </w:r>
        <w:r>
          <w:rPr>
            <w:noProof/>
            <w:webHidden/>
          </w:rPr>
          <w:t>2</w:t>
        </w:r>
        <w:r>
          <w:rPr>
            <w:noProof/>
            <w:webHidden/>
          </w:rPr>
          <w:fldChar w:fldCharType="end"/>
        </w:r>
      </w:hyperlink>
    </w:p>
    <w:p w14:paraId="07016D35"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48" w:history="1">
        <w:r w:rsidRPr="00003AFC">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Principles</w:t>
        </w:r>
        <w:r>
          <w:rPr>
            <w:noProof/>
            <w:webHidden/>
          </w:rPr>
          <w:tab/>
        </w:r>
        <w:r>
          <w:rPr>
            <w:noProof/>
            <w:webHidden/>
          </w:rPr>
          <w:fldChar w:fldCharType="begin"/>
        </w:r>
        <w:r>
          <w:rPr>
            <w:noProof/>
            <w:webHidden/>
          </w:rPr>
          <w:instrText xml:space="preserve"> PAGEREF _Toc149571748 \h </w:instrText>
        </w:r>
        <w:r>
          <w:rPr>
            <w:noProof/>
            <w:webHidden/>
          </w:rPr>
        </w:r>
        <w:r>
          <w:rPr>
            <w:noProof/>
            <w:webHidden/>
          </w:rPr>
          <w:fldChar w:fldCharType="separate"/>
        </w:r>
        <w:r>
          <w:rPr>
            <w:noProof/>
            <w:webHidden/>
          </w:rPr>
          <w:t>3</w:t>
        </w:r>
        <w:r>
          <w:rPr>
            <w:noProof/>
            <w:webHidden/>
          </w:rPr>
          <w:fldChar w:fldCharType="end"/>
        </w:r>
      </w:hyperlink>
    </w:p>
    <w:p w14:paraId="0C74EFA5"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49" w:history="1">
        <w:r w:rsidRPr="00003AFC">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Procedure</w:t>
        </w:r>
        <w:r>
          <w:rPr>
            <w:noProof/>
            <w:webHidden/>
          </w:rPr>
          <w:tab/>
        </w:r>
        <w:r>
          <w:rPr>
            <w:noProof/>
            <w:webHidden/>
          </w:rPr>
          <w:fldChar w:fldCharType="begin"/>
        </w:r>
        <w:r>
          <w:rPr>
            <w:noProof/>
            <w:webHidden/>
          </w:rPr>
          <w:instrText xml:space="preserve"> PAGEREF _Toc149571749 \h </w:instrText>
        </w:r>
        <w:r>
          <w:rPr>
            <w:noProof/>
            <w:webHidden/>
          </w:rPr>
        </w:r>
        <w:r>
          <w:rPr>
            <w:noProof/>
            <w:webHidden/>
          </w:rPr>
          <w:fldChar w:fldCharType="separate"/>
        </w:r>
        <w:r>
          <w:rPr>
            <w:noProof/>
            <w:webHidden/>
          </w:rPr>
          <w:t>3</w:t>
        </w:r>
        <w:r>
          <w:rPr>
            <w:noProof/>
            <w:webHidden/>
          </w:rPr>
          <w:fldChar w:fldCharType="end"/>
        </w:r>
      </w:hyperlink>
    </w:p>
    <w:p w14:paraId="34F90C72"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50" w:history="1">
        <w:r w:rsidRPr="00003AFC">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Data Protection</w:t>
        </w:r>
        <w:r>
          <w:rPr>
            <w:noProof/>
            <w:webHidden/>
          </w:rPr>
          <w:tab/>
        </w:r>
        <w:r>
          <w:rPr>
            <w:noProof/>
            <w:webHidden/>
          </w:rPr>
          <w:fldChar w:fldCharType="begin"/>
        </w:r>
        <w:r>
          <w:rPr>
            <w:noProof/>
            <w:webHidden/>
          </w:rPr>
          <w:instrText xml:space="preserve"> PAGEREF _Toc149571750 \h </w:instrText>
        </w:r>
        <w:r>
          <w:rPr>
            <w:noProof/>
            <w:webHidden/>
          </w:rPr>
        </w:r>
        <w:r>
          <w:rPr>
            <w:noProof/>
            <w:webHidden/>
          </w:rPr>
          <w:fldChar w:fldCharType="separate"/>
        </w:r>
        <w:r>
          <w:rPr>
            <w:noProof/>
            <w:webHidden/>
          </w:rPr>
          <w:t>4</w:t>
        </w:r>
        <w:r>
          <w:rPr>
            <w:noProof/>
            <w:webHidden/>
          </w:rPr>
          <w:fldChar w:fldCharType="end"/>
        </w:r>
      </w:hyperlink>
    </w:p>
    <w:p w14:paraId="1631C921"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51" w:history="1">
        <w:r w:rsidRPr="00003AFC">
          <w:rPr>
            <w:rStyle w:val="Hyperlink"/>
            <w:rFonts w:ascii="Century Gothic" w:hAnsi="Century Gothic" w:cs="Tahoma"/>
            <w:noProof/>
          </w:rPr>
          <w:t>6.</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Review</w:t>
        </w:r>
        <w:r>
          <w:rPr>
            <w:noProof/>
            <w:webHidden/>
          </w:rPr>
          <w:tab/>
        </w:r>
        <w:r>
          <w:rPr>
            <w:noProof/>
            <w:webHidden/>
          </w:rPr>
          <w:fldChar w:fldCharType="begin"/>
        </w:r>
        <w:r>
          <w:rPr>
            <w:noProof/>
            <w:webHidden/>
          </w:rPr>
          <w:instrText xml:space="preserve"> PAGEREF _Toc149571751 \h </w:instrText>
        </w:r>
        <w:r>
          <w:rPr>
            <w:noProof/>
            <w:webHidden/>
          </w:rPr>
        </w:r>
        <w:r>
          <w:rPr>
            <w:noProof/>
            <w:webHidden/>
          </w:rPr>
          <w:fldChar w:fldCharType="separate"/>
        </w:r>
        <w:r>
          <w:rPr>
            <w:noProof/>
            <w:webHidden/>
          </w:rPr>
          <w:t>4</w:t>
        </w:r>
        <w:r>
          <w:rPr>
            <w:noProof/>
            <w:webHidden/>
          </w:rPr>
          <w:fldChar w:fldCharType="end"/>
        </w:r>
      </w:hyperlink>
    </w:p>
    <w:p w14:paraId="4B2AE98A" w14:textId="77777777" w:rsidR="00A51D45" w:rsidRDefault="00A51D45">
      <w:pPr>
        <w:pStyle w:val="TOC1"/>
        <w:rPr>
          <w:rFonts w:asciiTheme="minorHAnsi" w:eastAsiaTheme="minorEastAsia" w:hAnsiTheme="minorHAnsi" w:cstheme="minorBidi"/>
          <w:noProof/>
          <w:sz w:val="22"/>
          <w:szCs w:val="22"/>
          <w:lang w:val="en-GB" w:eastAsia="en-GB"/>
        </w:rPr>
      </w:pPr>
      <w:hyperlink w:anchor="_Toc149571752" w:history="1">
        <w:r w:rsidRPr="00003AFC">
          <w:rPr>
            <w:rStyle w:val="Hyperlink"/>
            <w:rFonts w:ascii="Century Gothic" w:hAnsi="Century Gothic" w:cs="Tahoma"/>
            <w:noProof/>
          </w:rPr>
          <w:t>7.</w:t>
        </w:r>
        <w:r>
          <w:rPr>
            <w:rFonts w:asciiTheme="minorHAnsi" w:eastAsiaTheme="minorEastAsia" w:hAnsiTheme="minorHAnsi" w:cstheme="minorBidi"/>
            <w:noProof/>
            <w:sz w:val="22"/>
            <w:szCs w:val="22"/>
            <w:lang w:val="en-GB" w:eastAsia="en-GB"/>
          </w:rPr>
          <w:tab/>
        </w:r>
        <w:r w:rsidRPr="00003AFC">
          <w:rPr>
            <w:rStyle w:val="Hyperlink"/>
            <w:rFonts w:ascii="Century Gothic" w:hAnsi="Century Gothic" w:cs="Tahoma"/>
            <w:noProof/>
          </w:rPr>
          <w:t>Quality Assurance</w:t>
        </w:r>
        <w:r>
          <w:rPr>
            <w:noProof/>
            <w:webHidden/>
          </w:rPr>
          <w:tab/>
        </w:r>
        <w:r>
          <w:rPr>
            <w:noProof/>
            <w:webHidden/>
          </w:rPr>
          <w:fldChar w:fldCharType="begin"/>
        </w:r>
        <w:r>
          <w:rPr>
            <w:noProof/>
            <w:webHidden/>
          </w:rPr>
          <w:instrText xml:space="preserve"> PAGEREF _Toc149571752 \h </w:instrText>
        </w:r>
        <w:r>
          <w:rPr>
            <w:noProof/>
            <w:webHidden/>
          </w:rPr>
        </w:r>
        <w:r>
          <w:rPr>
            <w:noProof/>
            <w:webHidden/>
          </w:rPr>
          <w:fldChar w:fldCharType="separate"/>
        </w:r>
        <w:r>
          <w:rPr>
            <w:noProof/>
            <w:webHidden/>
          </w:rPr>
          <w:t>4</w:t>
        </w:r>
        <w:r>
          <w:rPr>
            <w:noProof/>
            <w:webHidden/>
          </w:rPr>
          <w:fldChar w:fldCharType="end"/>
        </w:r>
      </w:hyperlink>
    </w:p>
    <w:p w14:paraId="34CE0A41"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19B33EF3"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52248FB1" wp14:editId="07777777">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A370A53">
              <v:line id="Straight Connector 5"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BE2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3E7A9F1C"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57174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49F54214" w14:textId="2BBB83E7" w:rsidR="009600CF" w:rsidRPr="009600CF" w:rsidRDefault="009600CF" w:rsidP="009600CF">
      <w:pPr>
        <w:rPr>
          <w:rFonts w:ascii="Century Gothic" w:hAnsi="Century Gothic"/>
        </w:rPr>
      </w:pPr>
      <w:r w:rsidRPr="2552416B">
        <w:rPr>
          <w:rFonts w:ascii="Century Gothic" w:hAnsi="Century Gothic"/>
        </w:rPr>
        <w:t>This policy applies to all employees and officers of West Berks</w:t>
      </w:r>
      <w:r w:rsidR="041AB618" w:rsidRPr="2552416B">
        <w:rPr>
          <w:rFonts w:ascii="Century Gothic" w:hAnsi="Century Gothic"/>
        </w:rPr>
        <w:t>hire</w:t>
      </w:r>
      <w:r w:rsidRPr="2552416B">
        <w:rPr>
          <w:rFonts w:ascii="Century Gothic" w:hAnsi="Century Gothic"/>
        </w:rPr>
        <w:t xml:space="preserve"> Training Consortium. Other individuals performing functions in relation to the organisation, such as agency workers and contractors, are encouraged to use it.</w:t>
      </w:r>
    </w:p>
    <w:p w14:paraId="73247788" w14:textId="77777777" w:rsidR="001E1B44" w:rsidRPr="009600CF" w:rsidRDefault="009600CF" w:rsidP="009600CF">
      <w:pPr>
        <w:pStyle w:val="NormalWeb"/>
        <w:rPr>
          <w:rFonts w:ascii="Century Gothic" w:hAnsi="Century Gothic"/>
          <w:sz w:val="22"/>
          <w:szCs w:val="22"/>
        </w:rPr>
      </w:pPr>
      <w:r w:rsidRPr="18B166E7">
        <w:rPr>
          <w:rFonts w:ascii="Century Gothic" w:hAnsi="Century Gothic"/>
          <w:sz w:val="22"/>
          <w:szCs w:val="22"/>
        </w:rPr>
        <w:t>It is important to the business that any fraud, misconduct or wrongdoing by workers or officers of the organisation is reported and properly dealt with. The organisation therefore encourages all individuals to raise any concerns that they may have about the conduct of others in the business or the way in which the business is run. This policy sets out the way in which individuals may raise any concerns that they have and how those concerns will be dealt with.</w:t>
      </w:r>
    </w:p>
    <w:p w14:paraId="25A13DB6" w14:textId="234A43D1" w:rsidR="18B166E7" w:rsidRDefault="18B166E7" w:rsidP="18B166E7">
      <w:pPr>
        <w:pStyle w:val="NormalWeb"/>
        <w:rPr>
          <w:rFonts w:ascii="Century Gothic" w:hAnsi="Century Gothic"/>
          <w:sz w:val="22"/>
          <w:szCs w:val="22"/>
        </w:rPr>
      </w:pPr>
    </w:p>
    <w:p w14:paraId="66EF5347" w14:textId="77777777" w:rsidR="009600CF" w:rsidRDefault="009600CF" w:rsidP="009600C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95717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Background</w:t>
      </w:r>
      <w:bookmarkEnd w:id="16"/>
      <w:r w:rsidR="009F2E46" w:rsidRPr="001E1B44">
        <w:rPr>
          <w:rFonts w:ascii="Century Gothic" w:hAnsi="Century Gothic" w:cs="Tahoma"/>
          <w:color w:val="290076"/>
          <w:sz w:val="28"/>
          <w:szCs w:val="28"/>
        </w:rPr>
        <w:t xml:space="preserve"> </w:t>
      </w:r>
    </w:p>
    <w:p w14:paraId="782851D7" w14:textId="77777777" w:rsidR="009600CF" w:rsidRPr="00A51D45" w:rsidRDefault="009600CF" w:rsidP="009600CF">
      <w:pPr>
        <w:rPr>
          <w:rFonts w:ascii="Century Gothic" w:hAnsi="Century Gothic" w:cs="Tahoma"/>
          <w:color w:val="290076"/>
        </w:rPr>
      </w:pPr>
      <w:r w:rsidRPr="00A51D45">
        <w:rPr>
          <w:rFonts w:ascii="Century Gothic" w:hAnsi="Century Gothic"/>
        </w:rPr>
        <w:t>The law provides protection for workers who raise legitimate concerns about specified matters. These are called "qualifying disclosures". A qualifying disclosure is one made in the public interest by a worker who has a reasonable belief that:</w:t>
      </w:r>
    </w:p>
    <w:p w14:paraId="5E3E4FE8" w14:textId="77777777" w:rsidR="009600CF" w:rsidRPr="00A51D45" w:rsidRDefault="009600CF" w:rsidP="009600CF">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00A51D45">
        <w:rPr>
          <w:rFonts w:ascii="Century Gothic" w:eastAsia="Times New Roman" w:hAnsi="Century Gothic"/>
        </w:rPr>
        <w:t>a criminal offence;</w:t>
      </w:r>
    </w:p>
    <w:p w14:paraId="0F2D4B50" w14:textId="77777777" w:rsidR="009600CF" w:rsidRPr="00A51D45" w:rsidRDefault="009600CF" w:rsidP="009600CF">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00A51D45">
        <w:rPr>
          <w:rFonts w:ascii="Century Gothic" w:eastAsia="Times New Roman" w:hAnsi="Century Gothic"/>
        </w:rPr>
        <w:t>a miscarriage of justice;</w:t>
      </w:r>
    </w:p>
    <w:p w14:paraId="77DB0EE9" w14:textId="77777777" w:rsidR="009600CF" w:rsidRPr="00A51D45" w:rsidRDefault="009600CF" w:rsidP="009600CF">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00A51D45">
        <w:rPr>
          <w:rFonts w:ascii="Century Gothic" w:eastAsia="Times New Roman" w:hAnsi="Century Gothic"/>
        </w:rPr>
        <w:t>an act creating risk to health and safety;</w:t>
      </w:r>
    </w:p>
    <w:p w14:paraId="0791C61D" w14:textId="77777777" w:rsidR="009600CF" w:rsidRPr="00A51D45" w:rsidRDefault="009600CF" w:rsidP="009600CF">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00A51D45">
        <w:rPr>
          <w:rFonts w:ascii="Century Gothic" w:eastAsia="Times New Roman" w:hAnsi="Century Gothic"/>
        </w:rPr>
        <w:t>an act causing damage to the environment;</w:t>
      </w:r>
    </w:p>
    <w:p w14:paraId="21810A7E" w14:textId="77777777" w:rsidR="009600CF" w:rsidRPr="00A51D45" w:rsidRDefault="009600CF" w:rsidP="009600CF">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00A51D45">
        <w:rPr>
          <w:rFonts w:ascii="Century Gothic" w:eastAsia="Times New Roman" w:hAnsi="Century Gothic"/>
        </w:rPr>
        <w:t>a breach of any other legal obligation; or</w:t>
      </w:r>
    </w:p>
    <w:p w14:paraId="64FE0BC5" w14:textId="6DBEF18B" w:rsidR="009600CF" w:rsidRPr="00A51D45" w:rsidRDefault="009600CF" w:rsidP="594401A8">
      <w:pPr>
        <w:numPr>
          <w:ilvl w:val="0"/>
          <w:numId w:val="28"/>
        </w:numPr>
        <w:tabs>
          <w:tab w:val="clear" w:pos="1440"/>
          <w:tab w:val="num" w:pos="720"/>
        </w:tabs>
        <w:spacing w:before="100" w:beforeAutospacing="1" w:after="100" w:afterAutospacing="1" w:line="240" w:lineRule="auto"/>
        <w:ind w:left="720"/>
        <w:rPr>
          <w:rFonts w:ascii="Century Gothic" w:eastAsia="Times New Roman" w:hAnsi="Century Gothic"/>
        </w:rPr>
      </w:pPr>
      <w:r w:rsidRPr="594401A8">
        <w:rPr>
          <w:rFonts w:ascii="Century Gothic" w:eastAsia="Times New Roman" w:hAnsi="Century Gothic"/>
        </w:rPr>
        <w:t>concealment of any of the above;</w:t>
      </w:r>
    </w:p>
    <w:p w14:paraId="2722374E" w14:textId="1730DF42" w:rsidR="594401A8" w:rsidRDefault="594401A8" w:rsidP="594401A8">
      <w:pPr>
        <w:tabs>
          <w:tab w:val="num" w:pos="720"/>
        </w:tabs>
        <w:spacing w:beforeAutospacing="1" w:afterAutospacing="1" w:line="240" w:lineRule="auto"/>
        <w:ind w:left="720"/>
        <w:rPr>
          <w:rFonts w:ascii="Century Gothic" w:eastAsia="Times New Roman" w:hAnsi="Century Gothic"/>
        </w:rPr>
      </w:pPr>
    </w:p>
    <w:p w14:paraId="24B0AE77" w14:textId="77777777" w:rsidR="009600CF" w:rsidRPr="00A51D45" w:rsidRDefault="009600CF" w:rsidP="009600CF">
      <w:pPr>
        <w:pStyle w:val="NormalWeb"/>
        <w:rPr>
          <w:rFonts w:ascii="Century Gothic" w:hAnsi="Century Gothic"/>
          <w:sz w:val="22"/>
          <w:szCs w:val="22"/>
        </w:rPr>
      </w:pPr>
      <w:r w:rsidRPr="00A51D45">
        <w:rPr>
          <w:rFonts w:ascii="Century Gothic" w:hAnsi="Century Gothic"/>
          <w:sz w:val="22"/>
          <w:szCs w:val="22"/>
        </w:rPr>
        <w:t>is being, has been, or is likely to be, committed. It is not necessary for the worker to have proof that such an act is being, has been, or is likely to be, committed - a reasonable belief is sufficient. The worker has no responsibility for investigating the matter - it is the organisation's responsibility to ensure that an investigation takes place.</w:t>
      </w:r>
    </w:p>
    <w:p w14:paraId="157BD70C" w14:textId="77777777" w:rsidR="002E75F4" w:rsidRDefault="009600CF" w:rsidP="009600CF">
      <w:pPr>
        <w:pStyle w:val="NormalWeb"/>
        <w:rPr>
          <w:rFonts w:ascii="Century Gothic" w:hAnsi="Century Gothic"/>
          <w:sz w:val="22"/>
          <w:szCs w:val="22"/>
        </w:rPr>
      </w:pPr>
      <w:r w:rsidRPr="00A51D45">
        <w:rPr>
          <w:rFonts w:ascii="Century Gothic" w:hAnsi="Century Gothic"/>
          <w:sz w:val="22"/>
          <w:szCs w:val="22"/>
        </w:rPr>
        <w:lastRenderedPageBreak/>
        <w:t>A worker who makes such a protected disclosure has the right not to be dismissed, subjected to any other detriment, or victimised, because they have made a disclosure.</w:t>
      </w:r>
    </w:p>
    <w:p w14:paraId="6BD700AB" w14:textId="34688775" w:rsidR="001E1B44" w:rsidRPr="00A51D45" w:rsidRDefault="009600CF" w:rsidP="009600CF">
      <w:pPr>
        <w:pStyle w:val="NormalWeb"/>
        <w:rPr>
          <w:rFonts w:ascii="Century Gothic" w:hAnsi="Century Gothic"/>
          <w:sz w:val="22"/>
          <w:szCs w:val="22"/>
        </w:rPr>
      </w:pPr>
      <w:r w:rsidRPr="18B166E7">
        <w:rPr>
          <w:rFonts w:ascii="Century Gothic" w:hAnsi="Century Gothic"/>
          <w:sz w:val="22"/>
          <w:szCs w:val="22"/>
        </w:rPr>
        <w:t>The organisation encourages workers to raise their concerns under this procedure in the first instance. If a worker is not sure whether or not to raise a concern, they should discuss the issue with their line manager or the</w:t>
      </w:r>
      <w:r w:rsidR="7560A8E0" w:rsidRPr="18B166E7">
        <w:rPr>
          <w:rFonts w:ascii="Century Gothic" w:hAnsi="Century Gothic"/>
          <w:sz w:val="22"/>
          <w:szCs w:val="22"/>
        </w:rPr>
        <w:t xml:space="preserve"> BCoT</w:t>
      </w:r>
      <w:r w:rsidRPr="18B166E7">
        <w:rPr>
          <w:rFonts w:ascii="Century Gothic" w:hAnsi="Century Gothic"/>
          <w:sz w:val="22"/>
          <w:szCs w:val="22"/>
        </w:rPr>
        <w:t xml:space="preserve"> HR department</w:t>
      </w:r>
      <w:r w:rsidR="00A51D45" w:rsidRPr="18B166E7">
        <w:rPr>
          <w:rFonts w:ascii="Century Gothic" w:hAnsi="Century Gothic"/>
          <w:sz w:val="22"/>
          <w:szCs w:val="22"/>
        </w:rPr>
        <w:t>.</w:t>
      </w:r>
    </w:p>
    <w:p w14:paraId="732BCBE6" w14:textId="77777777" w:rsidR="009F2E46" w:rsidRPr="001E1B44" w:rsidRDefault="009600CF"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49571748"/>
      <w:r>
        <w:rPr>
          <w:rFonts w:ascii="Century Gothic" w:hAnsi="Century Gothic" w:cs="Tahoma"/>
          <w:color w:val="290076"/>
          <w:sz w:val="28"/>
          <w:szCs w:val="28"/>
        </w:rPr>
        <w:t>Principles</w:t>
      </w:r>
      <w:bookmarkEnd w:id="17"/>
    </w:p>
    <w:p w14:paraId="53072B20"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Everyone should be aware of the importance of preventing and eliminating wrongdoing at work. Workers should be watchful for illegal or unethical conduct and report anything of that nature that they become aware of.</w:t>
      </w:r>
    </w:p>
    <w:p w14:paraId="185EBA3F"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Any matter raised under this procedure will be investigated thoroughly, promptly and confidentially, and the outcome of the investigation reported back to the worker who raised the issue.</w:t>
      </w:r>
    </w:p>
    <w:p w14:paraId="5472B5AE"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No worker will be victimised for raising a matter under this procedure. This means that the continued employment and opportunities for future promotion or training of the worker will not be prejudiced because they have raised a legitimate concern.</w:t>
      </w:r>
    </w:p>
    <w:p w14:paraId="2A61DB51"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Victimisation of a worker for raising a qualified disclosure will be a disciplinary offence.</w:t>
      </w:r>
    </w:p>
    <w:p w14:paraId="6A526DD8"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If misconduct is discovered as a result of any investigation under this procedure the organisation's disciplinary procedure will be used, in addition to any appropriate external measures.</w:t>
      </w:r>
    </w:p>
    <w:p w14:paraId="60EB753C"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Maliciously making a false allegation is a disciplinary offence.</w:t>
      </w:r>
    </w:p>
    <w:p w14:paraId="492E48C8" w14:textId="77777777" w:rsidR="009600CF" w:rsidRPr="009600CF" w:rsidRDefault="009600CF" w:rsidP="009600CF">
      <w:pPr>
        <w:numPr>
          <w:ilvl w:val="0"/>
          <w:numId w:val="30"/>
        </w:numPr>
        <w:spacing w:before="100" w:beforeAutospacing="1" w:after="100" w:afterAutospacing="1" w:line="240" w:lineRule="auto"/>
        <w:rPr>
          <w:rFonts w:ascii="Century Gothic" w:eastAsia="Times New Roman" w:hAnsi="Century Gothic"/>
        </w:rPr>
      </w:pPr>
      <w:r w:rsidRPr="009600CF">
        <w:rPr>
          <w:rFonts w:ascii="Century Gothic" w:eastAsia="Times New Roman" w:hAnsi="Century Gothic"/>
        </w:rPr>
        <w:t>An instruction to cover up wrongdoing is itself a disciplinary offence. If told not to raise or pursue any concern, even by a person in authority such as a manager, workers should not agree to remain silent. They should report the matter to a director.</w:t>
      </w:r>
    </w:p>
    <w:p w14:paraId="143A9A6E" w14:textId="77777777" w:rsidR="001E1B44" w:rsidRPr="009600CF" w:rsidRDefault="009600CF" w:rsidP="009600CF">
      <w:pPr>
        <w:pStyle w:val="NormalWeb"/>
        <w:rPr>
          <w:rFonts w:ascii="Century Gothic" w:hAnsi="Century Gothic"/>
          <w:sz w:val="22"/>
          <w:szCs w:val="22"/>
        </w:rPr>
      </w:pPr>
      <w:r w:rsidRPr="009600CF">
        <w:rPr>
          <w:rFonts w:ascii="Century Gothic" w:hAnsi="Century Gothic"/>
          <w:sz w:val="22"/>
          <w:szCs w:val="22"/>
        </w:rPr>
        <w:t>This procedure is for disclosures about matters other than a breach of an employee's own contract of employment. If an employee is concerned that their own contract has been, or is likely to be, broken, they should use the organisation's grievance procedure.</w:t>
      </w:r>
    </w:p>
    <w:p w14:paraId="080E6297" w14:textId="77777777" w:rsidR="009F2E46" w:rsidRDefault="009600CF" w:rsidP="00A51D45">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571749"/>
      <w:r>
        <w:rPr>
          <w:rFonts w:ascii="Century Gothic" w:hAnsi="Century Gothic" w:cs="Tahoma"/>
          <w:color w:val="290076"/>
          <w:sz w:val="28"/>
          <w:szCs w:val="28"/>
        </w:rPr>
        <w:t>Procedure</w:t>
      </w:r>
      <w:bookmarkEnd w:id="18"/>
      <w:r w:rsidR="009F2E46" w:rsidRPr="001E1B44">
        <w:rPr>
          <w:rFonts w:ascii="Century Gothic" w:hAnsi="Century Gothic" w:cs="Tahoma"/>
          <w:color w:val="290076"/>
          <w:sz w:val="28"/>
          <w:szCs w:val="28"/>
        </w:rPr>
        <w:t xml:space="preserve">  </w:t>
      </w:r>
    </w:p>
    <w:p w14:paraId="36FB3217" w14:textId="525565E7" w:rsidR="00A51D45" w:rsidRPr="00A51D45" w:rsidRDefault="009600CF" w:rsidP="00A51D45">
      <w:pPr>
        <w:pStyle w:val="ListParagraph"/>
        <w:numPr>
          <w:ilvl w:val="0"/>
          <w:numId w:val="35"/>
        </w:numPr>
        <w:rPr>
          <w:rFonts w:ascii="Century Gothic" w:hAnsi="Century Gothic"/>
        </w:rPr>
      </w:pPr>
      <w:r w:rsidRPr="18B166E7">
        <w:rPr>
          <w:rFonts w:ascii="Century Gothic" w:hAnsi="Century Gothic"/>
        </w:rPr>
        <w:t xml:space="preserve">In the first instance, and unless the worker reasonably believes their line manager to be involved in the wrongdoing, or if for any other reason the worker does not wish to approach their line manager, any concerns should be raised with the worker's line manager. If they believe the line manager to be involved, or for any reason does not wish to approach the line manager, then the worker should proceed straight to stage </w:t>
      </w:r>
      <w:r w:rsidR="4BBEFC43" w:rsidRPr="18B166E7">
        <w:rPr>
          <w:rFonts w:ascii="Century Gothic" w:hAnsi="Century Gothic"/>
        </w:rPr>
        <w:t>3.</w:t>
      </w:r>
    </w:p>
    <w:p w14:paraId="34A94FC5" w14:textId="77777777" w:rsidR="00A51D45" w:rsidRDefault="009600CF" w:rsidP="00A51D45">
      <w:pPr>
        <w:pStyle w:val="NormalWeb"/>
        <w:numPr>
          <w:ilvl w:val="0"/>
          <w:numId w:val="35"/>
        </w:numPr>
        <w:spacing w:before="120" w:beforeAutospacing="0"/>
        <w:ind w:left="357" w:hanging="357"/>
        <w:rPr>
          <w:rFonts w:ascii="Century Gothic" w:hAnsi="Century Gothic"/>
          <w:sz w:val="22"/>
          <w:szCs w:val="22"/>
        </w:rPr>
      </w:pPr>
      <w:r w:rsidRPr="009600CF">
        <w:rPr>
          <w:rFonts w:ascii="Century Gothic" w:hAnsi="Century Gothic"/>
          <w:sz w:val="22"/>
          <w:szCs w:val="22"/>
        </w:rPr>
        <w:t xml:space="preserve">The line manager will arrange an investigation into the matter (either by investigating the matter personally or immediately passing the issue to someone in a more senior position). The investigation may involve the worker and other individuals involved giving a written statement. Any investigation will be carried out in accordance with the principles set out above. The worker's statement will be </w:t>
      </w:r>
      <w:proofErr w:type="gramStart"/>
      <w:r w:rsidRPr="009600CF">
        <w:rPr>
          <w:rFonts w:ascii="Century Gothic" w:hAnsi="Century Gothic"/>
          <w:sz w:val="22"/>
          <w:szCs w:val="22"/>
        </w:rPr>
        <w:t>taken into account</w:t>
      </w:r>
      <w:proofErr w:type="gramEnd"/>
      <w:r w:rsidRPr="009600CF">
        <w:rPr>
          <w:rFonts w:ascii="Century Gothic" w:hAnsi="Century Gothic"/>
          <w:sz w:val="22"/>
          <w:szCs w:val="22"/>
        </w:rPr>
        <w:t xml:space="preserve">, and they will be asked to comment on any additional evidence obtained. The line manager (or the person who carried out the investigation) will then report to the board, which will take any necessary action, including reporting the matter to any appropriate government department or regulatory agency. If disciplinary action is required, the line </w:t>
      </w:r>
      <w:r w:rsidRPr="009600CF">
        <w:rPr>
          <w:rFonts w:ascii="Century Gothic" w:hAnsi="Century Gothic"/>
          <w:sz w:val="22"/>
          <w:szCs w:val="22"/>
        </w:rPr>
        <w:lastRenderedPageBreak/>
        <w:t>manager (or the person who carried out the investigation) will report the matter to the human resources department and start the disciplinary procedure. On conclusion of any investigation, the worker will be told the outcome of the investigation and what the board has done, or proposes to do, about it. If no action is to be taken, the re</w:t>
      </w:r>
      <w:r w:rsidR="00A51D45">
        <w:rPr>
          <w:rFonts w:ascii="Century Gothic" w:hAnsi="Century Gothic"/>
          <w:sz w:val="22"/>
          <w:szCs w:val="22"/>
        </w:rPr>
        <w:t>ason for this will be explained.</w:t>
      </w:r>
    </w:p>
    <w:p w14:paraId="2703CABB" w14:textId="3DDCCCF5" w:rsidR="00A51D45" w:rsidRPr="00A51D45" w:rsidRDefault="009600CF" w:rsidP="18B166E7">
      <w:pPr>
        <w:pStyle w:val="NormalWeb"/>
        <w:numPr>
          <w:ilvl w:val="0"/>
          <w:numId w:val="35"/>
        </w:numPr>
        <w:spacing w:before="120" w:beforeAutospacing="0"/>
        <w:ind w:left="357" w:hanging="357"/>
        <w:rPr>
          <w:rFonts w:ascii="Century Gothic" w:hAnsi="Century Gothic"/>
          <w:sz w:val="22"/>
          <w:szCs w:val="22"/>
        </w:rPr>
      </w:pPr>
      <w:r w:rsidRPr="18B166E7">
        <w:rPr>
          <w:rFonts w:ascii="Century Gothic" w:hAnsi="Century Gothic"/>
          <w:sz w:val="22"/>
          <w:szCs w:val="22"/>
        </w:rPr>
        <w:t>If the worker is concerned that their line manager is involved in the wrongdoing, has failed to make a proper investigation or has failed to report the outcome of the investigations to the board, they should inform a director of the organisation who will arrange for another manager to review the investigation carried out, make any necessary enquiries and make their own report to the board as in stage 2 above. If for any other reason the worker does not wish to approach their line manager they should also in the first instance contact</w:t>
      </w:r>
      <w:r w:rsidR="1D0BBB43" w:rsidRPr="18B166E7">
        <w:rPr>
          <w:rFonts w:ascii="Century Gothic" w:hAnsi="Century Gothic"/>
          <w:sz w:val="22"/>
          <w:szCs w:val="22"/>
        </w:rPr>
        <w:t xml:space="preserve"> the Managing Director</w:t>
      </w:r>
    </w:p>
    <w:p w14:paraId="24B56372" w14:textId="0AE5B7C4" w:rsidR="00A51D45" w:rsidRPr="00A51D45" w:rsidRDefault="00A51D45" w:rsidP="18B166E7">
      <w:pPr>
        <w:pStyle w:val="NormalWeb"/>
        <w:spacing w:before="120" w:beforeAutospacing="0"/>
        <w:ind w:left="357" w:hanging="357"/>
        <w:rPr>
          <w:rFonts w:ascii="Century Gothic" w:hAnsi="Century Gothic"/>
          <w:sz w:val="22"/>
          <w:szCs w:val="22"/>
        </w:rPr>
      </w:pPr>
    </w:p>
    <w:p w14:paraId="37395764" w14:textId="77777777" w:rsidR="009600CF" w:rsidRPr="00A51D45" w:rsidRDefault="009600CF" w:rsidP="00A51D45">
      <w:pPr>
        <w:rPr>
          <w:rFonts w:ascii="Century Gothic" w:hAnsi="Century Gothic"/>
        </w:rPr>
      </w:pPr>
      <w:r w:rsidRPr="00A51D45">
        <w:rPr>
          <w:rFonts w:ascii="Century Gothic" w:hAnsi="Century Gothic"/>
        </w:rPr>
        <w:t>Any approach to the director will be treated with the strictest confidence and the worker's identity will not be disclosed without their prior consent.</w:t>
      </w:r>
    </w:p>
    <w:p w14:paraId="38A0F8C4" w14:textId="77777777" w:rsidR="009600CF" w:rsidRPr="009600CF" w:rsidRDefault="009600CF" w:rsidP="00A51D45">
      <w:pPr>
        <w:pStyle w:val="NormalWeb"/>
        <w:numPr>
          <w:ilvl w:val="0"/>
          <w:numId w:val="35"/>
        </w:numPr>
        <w:rPr>
          <w:rFonts w:ascii="Century Gothic" w:hAnsi="Century Gothic"/>
          <w:sz w:val="22"/>
          <w:szCs w:val="22"/>
        </w:rPr>
      </w:pPr>
      <w:r w:rsidRPr="009600CF">
        <w:rPr>
          <w:rFonts w:ascii="Century Gothic" w:hAnsi="Century Gothic"/>
          <w:sz w:val="22"/>
          <w:szCs w:val="22"/>
        </w:rPr>
        <w:t>If on conclusion of stages 1, 2 and 3 the worker reasonably believes that the appropriate action has not been taken, they should report the matter to the proper authority. The legislation sets out a number of bodies to which qualifying disclosures may be made. These include:</w:t>
      </w:r>
    </w:p>
    <w:p w14:paraId="162E2015" w14:textId="77777777" w:rsidR="009600CF" w:rsidRPr="00A51D45" w:rsidRDefault="009600CF" w:rsidP="00A51D45">
      <w:pPr>
        <w:pStyle w:val="ListParagraph"/>
        <w:numPr>
          <w:ilvl w:val="0"/>
          <w:numId w:val="39"/>
        </w:numPr>
        <w:spacing w:before="100" w:beforeAutospacing="1" w:after="100" w:afterAutospacing="1" w:line="240" w:lineRule="auto"/>
        <w:rPr>
          <w:rFonts w:ascii="Century Gothic" w:eastAsia="Times New Roman" w:hAnsi="Century Gothic"/>
        </w:rPr>
      </w:pPr>
      <w:r w:rsidRPr="00A51D45">
        <w:rPr>
          <w:rFonts w:ascii="Century Gothic" w:eastAsia="Times New Roman" w:hAnsi="Century Gothic"/>
        </w:rPr>
        <w:t>HM Revenue &amp; Customs</w:t>
      </w:r>
    </w:p>
    <w:p w14:paraId="72E56FF7" w14:textId="77777777" w:rsidR="009600CF" w:rsidRPr="00A51D45" w:rsidRDefault="00A51D45" w:rsidP="00A51D45">
      <w:pPr>
        <w:pStyle w:val="ListParagraph"/>
        <w:numPr>
          <w:ilvl w:val="0"/>
          <w:numId w:val="39"/>
        </w:numPr>
        <w:spacing w:before="100" w:beforeAutospacing="1" w:after="100" w:afterAutospacing="1" w:line="240" w:lineRule="auto"/>
        <w:rPr>
          <w:rFonts w:ascii="Century Gothic" w:eastAsia="Times New Roman" w:hAnsi="Century Gothic"/>
        </w:rPr>
      </w:pPr>
      <w:r>
        <w:rPr>
          <w:rFonts w:ascii="Century Gothic" w:eastAsia="Times New Roman" w:hAnsi="Century Gothic"/>
        </w:rPr>
        <w:t>the Financial Conduct Authority</w:t>
      </w:r>
    </w:p>
    <w:p w14:paraId="3ED95C2A" w14:textId="77777777" w:rsidR="009600CF" w:rsidRPr="00A51D45" w:rsidRDefault="009600CF" w:rsidP="00A51D45">
      <w:pPr>
        <w:pStyle w:val="ListParagraph"/>
        <w:numPr>
          <w:ilvl w:val="0"/>
          <w:numId w:val="39"/>
        </w:numPr>
        <w:spacing w:before="100" w:beforeAutospacing="1" w:after="100" w:afterAutospacing="1" w:line="240" w:lineRule="auto"/>
        <w:rPr>
          <w:rFonts w:ascii="Century Gothic" w:eastAsia="Times New Roman" w:hAnsi="Century Gothic"/>
        </w:rPr>
      </w:pPr>
      <w:r w:rsidRPr="00A51D45">
        <w:rPr>
          <w:rFonts w:ascii="Century Gothic" w:eastAsia="Times New Roman" w:hAnsi="Century Gothic"/>
        </w:rPr>
        <w:t>the Co</w:t>
      </w:r>
      <w:r w:rsidR="00A51D45">
        <w:rPr>
          <w:rFonts w:ascii="Century Gothic" w:eastAsia="Times New Roman" w:hAnsi="Century Gothic"/>
        </w:rPr>
        <w:t>mpetition and Markets Authority</w:t>
      </w:r>
    </w:p>
    <w:p w14:paraId="4AC4BCAB" w14:textId="77777777" w:rsidR="009600CF" w:rsidRPr="00A51D45" w:rsidRDefault="00A51D45" w:rsidP="00A51D45">
      <w:pPr>
        <w:pStyle w:val="ListParagraph"/>
        <w:numPr>
          <w:ilvl w:val="0"/>
          <w:numId w:val="39"/>
        </w:numPr>
        <w:spacing w:before="100" w:beforeAutospacing="1" w:after="100" w:afterAutospacing="1" w:line="240" w:lineRule="auto"/>
        <w:rPr>
          <w:rFonts w:ascii="Century Gothic" w:eastAsia="Times New Roman" w:hAnsi="Century Gothic"/>
        </w:rPr>
      </w:pPr>
      <w:r>
        <w:rPr>
          <w:rFonts w:ascii="Century Gothic" w:eastAsia="Times New Roman" w:hAnsi="Century Gothic"/>
        </w:rPr>
        <w:t>the Health and Safety Executive</w:t>
      </w:r>
    </w:p>
    <w:p w14:paraId="2BE5D1B5" w14:textId="77777777" w:rsidR="009600CF" w:rsidRPr="00A51D45" w:rsidRDefault="00A51D45" w:rsidP="00A51D45">
      <w:pPr>
        <w:pStyle w:val="ListParagraph"/>
        <w:numPr>
          <w:ilvl w:val="0"/>
          <w:numId w:val="39"/>
        </w:numPr>
        <w:spacing w:before="100" w:beforeAutospacing="1" w:after="100" w:afterAutospacing="1" w:line="240" w:lineRule="auto"/>
        <w:rPr>
          <w:rFonts w:ascii="Century Gothic" w:eastAsia="Times New Roman" w:hAnsi="Century Gothic"/>
        </w:rPr>
      </w:pPr>
      <w:r>
        <w:rPr>
          <w:rFonts w:ascii="Century Gothic" w:eastAsia="Times New Roman" w:hAnsi="Century Gothic"/>
        </w:rPr>
        <w:t>the Environment Agency</w:t>
      </w:r>
    </w:p>
    <w:p w14:paraId="3AE98220" w14:textId="77777777" w:rsidR="009600CF" w:rsidRPr="00A51D45" w:rsidRDefault="009600CF" w:rsidP="00A51D45">
      <w:pPr>
        <w:pStyle w:val="ListParagraph"/>
        <w:numPr>
          <w:ilvl w:val="0"/>
          <w:numId w:val="39"/>
        </w:numPr>
        <w:spacing w:before="100" w:beforeAutospacing="1" w:after="100" w:afterAutospacing="1" w:line="240" w:lineRule="auto"/>
        <w:rPr>
          <w:rFonts w:ascii="Century Gothic" w:eastAsia="Times New Roman" w:hAnsi="Century Gothic"/>
        </w:rPr>
      </w:pPr>
      <w:r w:rsidRPr="00A51D45">
        <w:rPr>
          <w:rFonts w:ascii="Century Gothic" w:eastAsia="Times New Roman" w:hAnsi="Century Gothic"/>
        </w:rPr>
        <w:t>the Independen</w:t>
      </w:r>
      <w:r w:rsidR="00A51D45">
        <w:rPr>
          <w:rFonts w:ascii="Century Gothic" w:eastAsia="Times New Roman" w:hAnsi="Century Gothic"/>
        </w:rPr>
        <w:t>t Office for Police Conduct</w:t>
      </w:r>
    </w:p>
    <w:p w14:paraId="5A90E7F3" w14:textId="77777777" w:rsidR="001E1B44" w:rsidRPr="00A51D45" w:rsidRDefault="00A51D45" w:rsidP="00A51D45">
      <w:pPr>
        <w:pStyle w:val="ListParagraph"/>
        <w:numPr>
          <w:ilvl w:val="0"/>
          <w:numId w:val="39"/>
        </w:numPr>
        <w:spacing w:before="100" w:beforeAutospacing="1" w:after="100" w:afterAutospacing="1" w:line="240" w:lineRule="auto"/>
        <w:rPr>
          <w:rFonts w:ascii="Century Gothic" w:eastAsia="Times New Roman" w:hAnsi="Century Gothic"/>
        </w:rPr>
      </w:pPr>
      <w:r w:rsidRPr="18B166E7">
        <w:rPr>
          <w:rFonts w:ascii="Century Gothic" w:eastAsia="Times New Roman" w:hAnsi="Century Gothic"/>
        </w:rPr>
        <w:t>the Serious Fraud Office</w:t>
      </w:r>
    </w:p>
    <w:p w14:paraId="43AA66C2" w14:textId="27ED63A0" w:rsidR="18B166E7" w:rsidRDefault="18B166E7" w:rsidP="18B166E7">
      <w:pPr>
        <w:pStyle w:val="ListParagraph"/>
        <w:spacing w:beforeAutospacing="1" w:afterAutospacing="1" w:line="240" w:lineRule="auto"/>
        <w:ind w:left="360"/>
        <w:rPr>
          <w:rFonts w:ascii="Century Gothic" w:eastAsia="Times New Roman" w:hAnsi="Century Gothic"/>
        </w:rPr>
      </w:pPr>
    </w:p>
    <w:p w14:paraId="6373C92A" w14:textId="77777777" w:rsidR="009F2E46" w:rsidRPr="001E1B44" w:rsidRDefault="009600CF" w:rsidP="00A51D45">
      <w:pPr>
        <w:pStyle w:val="Heading1"/>
        <w:keepNext w:val="0"/>
        <w:keepLines w:val="0"/>
        <w:numPr>
          <w:ilvl w:val="0"/>
          <w:numId w:val="35"/>
        </w:numPr>
        <w:shd w:val="clear" w:color="auto" w:fill="FFFFFF" w:themeFill="background1"/>
        <w:spacing w:before="0" w:after="160"/>
        <w:contextualSpacing/>
        <w:rPr>
          <w:rFonts w:ascii="Century Gothic" w:hAnsi="Century Gothic" w:cs="Tahoma"/>
          <w:color w:val="290076"/>
          <w:sz w:val="28"/>
          <w:szCs w:val="28"/>
        </w:rPr>
      </w:pPr>
      <w:bookmarkStart w:id="19" w:name="_Toc149571750"/>
      <w:r>
        <w:rPr>
          <w:rFonts w:ascii="Century Gothic" w:hAnsi="Century Gothic" w:cs="Tahoma"/>
          <w:color w:val="290076"/>
          <w:sz w:val="28"/>
          <w:szCs w:val="28"/>
        </w:rPr>
        <w:t>Data Protection</w:t>
      </w:r>
      <w:bookmarkEnd w:id="19"/>
    </w:p>
    <w:p w14:paraId="15C29DF4" w14:textId="77777777" w:rsidR="009600CF" w:rsidRPr="009600CF" w:rsidRDefault="009600CF" w:rsidP="009600CF">
      <w:pPr>
        <w:pStyle w:val="NormalWeb"/>
        <w:rPr>
          <w:rFonts w:ascii="Century Gothic" w:hAnsi="Century Gothic"/>
          <w:sz w:val="22"/>
          <w:szCs w:val="22"/>
        </w:rPr>
      </w:pPr>
      <w:r w:rsidRPr="18B166E7">
        <w:rPr>
          <w:rFonts w:ascii="Century Gothic" w:hAnsi="Century Gothic"/>
          <w:sz w:val="22"/>
          <w:szCs w:val="22"/>
        </w:rPr>
        <w:t xml:space="preserve">When an individual makes a disclosure, the organisation will process any personal data collected in accordance with its </w:t>
      </w:r>
      <w:hyperlink r:id="rId11">
        <w:r w:rsidRPr="18B166E7">
          <w:rPr>
            <w:rStyle w:val="Hyperlink"/>
            <w:rFonts w:ascii="Century Gothic" w:hAnsi="Century Gothic"/>
            <w:sz w:val="22"/>
            <w:szCs w:val="22"/>
          </w:rPr>
          <w:t>data protection policy</w:t>
        </w:r>
      </w:hyperlink>
      <w:r w:rsidRPr="18B166E7">
        <w:rPr>
          <w:rFonts w:ascii="Century Gothic" w:hAnsi="Century Gothic"/>
          <w:sz w:val="22"/>
          <w:szCs w:val="22"/>
        </w:rPr>
        <w:t>. Data collected from the point at which the individual makes the report is held securely and accessed by, and disclosed to, individuals only for the purposes of dealing with the disclosure.</w:t>
      </w:r>
    </w:p>
    <w:p w14:paraId="4D97E5BB" w14:textId="1AE19E75" w:rsidR="18B166E7" w:rsidRDefault="18B166E7" w:rsidP="18B166E7">
      <w:pPr>
        <w:pStyle w:val="NormalWeb"/>
        <w:rPr>
          <w:rFonts w:ascii="Century Gothic" w:hAnsi="Century Gothic"/>
          <w:sz w:val="22"/>
          <w:szCs w:val="22"/>
        </w:rPr>
      </w:pPr>
    </w:p>
    <w:p w14:paraId="26D726BB" w14:textId="77777777" w:rsidR="009600CF" w:rsidRDefault="009600CF" w:rsidP="00A51D45">
      <w:pPr>
        <w:pStyle w:val="Heading1"/>
        <w:keepNext w:val="0"/>
        <w:keepLines w:val="0"/>
        <w:numPr>
          <w:ilvl w:val="0"/>
          <w:numId w:val="35"/>
        </w:numPr>
        <w:shd w:val="clear" w:color="auto" w:fill="FFFFFF" w:themeFill="background1"/>
        <w:spacing w:before="0" w:after="160"/>
        <w:contextualSpacing/>
        <w:rPr>
          <w:rFonts w:ascii="Century Gothic" w:hAnsi="Century Gothic" w:cs="Tahoma"/>
          <w:color w:val="290076"/>
          <w:sz w:val="28"/>
          <w:szCs w:val="28"/>
        </w:rPr>
      </w:pPr>
      <w:bookmarkStart w:id="20" w:name="_Toc149568344"/>
      <w:bookmarkStart w:id="21" w:name="_Toc149571751"/>
      <w:r>
        <w:rPr>
          <w:rFonts w:ascii="Century Gothic" w:hAnsi="Century Gothic" w:cs="Tahoma"/>
          <w:color w:val="290076"/>
          <w:sz w:val="28"/>
          <w:szCs w:val="28"/>
        </w:rPr>
        <w:t>Review</w:t>
      </w:r>
      <w:bookmarkEnd w:id="20"/>
      <w:bookmarkEnd w:id="21"/>
      <w:r w:rsidRPr="001E1B44">
        <w:rPr>
          <w:rFonts w:ascii="Century Gothic" w:hAnsi="Century Gothic" w:cs="Tahoma"/>
          <w:color w:val="290076"/>
          <w:sz w:val="28"/>
          <w:szCs w:val="28"/>
        </w:rPr>
        <w:t xml:space="preserve"> </w:t>
      </w:r>
    </w:p>
    <w:p w14:paraId="7485531B" w14:textId="77777777" w:rsidR="009600CF" w:rsidRPr="002D45C1" w:rsidRDefault="009600CF" w:rsidP="009600CF">
      <w:pPr>
        <w:spacing w:after="0"/>
        <w:jc w:val="both"/>
        <w:rPr>
          <w:rFonts w:ascii="Century Gothic" w:hAnsi="Century Gothic"/>
        </w:rPr>
      </w:pPr>
      <w:r w:rsidRPr="002D45C1">
        <w:rPr>
          <w:rFonts w:ascii="Century Gothic" w:hAnsi="Century Gothic"/>
        </w:rPr>
        <w:t>Notwithstanding our current</w:t>
      </w:r>
      <w:r>
        <w:rPr>
          <w:rFonts w:ascii="Century Gothic" w:hAnsi="Century Gothic"/>
        </w:rPr>
        <w:t xml:space="preserve"> policies and procedures, the Senior Leadership </w:t>
      </w:r>
      <w:r w:rsidRPr="002D45C1">
        <w:rPr>
          <w:rFonts w:ascii="Century Gothic" w:hAnsi="Century Gothic"/>
        </w:rPr>
        <w:t>T</w:t>
      </w:r>
      <w:r>
        <w:rPr>
          <w:rFonts w:ascii="Century Gothic" w:hAnsi="Century Gothic"/>
        </w:rPr>
        <w:t>eam</w:t>
      </w:r>
      <w:r w:rsidRPr="002D45C1">
        <w:rPr>
          <w:rFonts w:ascii="Century Gothic" w:hAnsi="Century Gothic"/>
        </w:rPr>
        <w:t xml:space="preserve"> reserve the right to amend, curtail or terminate this policy at any time and without notice.</w:t>
      </w:r>
    </w:p>
    <w:p w14:paraId="29D6B04F" w14:textId="77777777" w:rsidR="009600CF" w:rsidRPr="002D45C1" w:rsidRDefault="009600CF" w:rsidP="009600CF">
      <w:pPr>
        <w:pStyle w:val="Heading1"/>
        <w:keepNext w:val="0"/>
        <w:keepLines w:val="0"/>
        <w:shd w:val="clear" w:color="auto" w:fill="FFFFFF" w:themeFill="background1"/>
        <w:spacing w:before="0" w:after="160"/>
        <w:ind w:left="360"/>
        <w:contextualSpacing/>
        <w:rPr>
          <w:rFonts w:ascii="Century Gothic" w:hAnsi="Century Gothic" w:cs="Tahoma"/>
          <w:color w:val="290076"/>
          <w:sz w:val="28"/>
          <w:szCs w:val="28"/>
        </w:rPr>
      </w:pPr>
      <w:r w:rsidRPr="001E1B44">
        <w:rPr>
          <w:rFonts w:ascii="Century Gothic" w:hAnsi="Century Gothic" w:cs="Tahoma"/>
          <w:color w:val="290076"/>
          <w:sz w:val="28"/>
          <w:szCs w:val="28"/>
        </w:rPr>
        <w:t xml:space="preserve"> </w:t>
      </w:r>
    </w:p>
    <w:p w14:paraId="427683AF" w14:textId="77777777" w:rsidR="009600CF" w:rsidRPr="001E1B44" w:rsidRDefault="009600CF" w:rsidP="00A51D45">
      <w:pPr>
        <w:pStyle w:val="Heading1"/>
        <w:keepNext w:val="0"/>
        <w:keepLines w:val="0"/>
        <w:numPr>
          <w:ilvl w:val="0"/>
          <w:numId w:val="35"/>
        </w:numPr>
        <w:shd w:val="clear" w:color="auto" w:fill="FFFFFF" w:themeFill="background1"/>
        <w:spacing w:before="0" w:after="160"/>
        <w:contextualSpacing/>
        <w:rPr>
          <w:rFonts w:ascii="Century Gothic" w:hAnsi="Century Gothic" w:cs="Tahoma"/>
          <w:color w:val="290076"/>
          <w:sz w:val="28"/>
          <w:szCs w:val="28"/>
        </w:rPr>
      </w:pPr>
      <w:bookmarkStart w:id="22" w:name="_Toc149568345"/>
      <w:bookmarkStart w:id="23" w:name="_Toc149571752"/>
      <w:r>
        <w:rPr>
          <w:rFonts w:ascii="Century Gothic" w:hAnsi="Century Gothic" w:cs="Tahoma"/>
          <w:color w:val="290076"/>
          <w:sz w:val="28"/>
          <w:szCs w:val="28"/>
        </w:rPr>
        <w:t>Quality Assurance</w:t>
      </w:r>
      <w:bookmarkEnd w:id="22"/>
      <w:bookmarkEnd w:id="23"/>
    </w:p>
    <w:p w14:paraId="2EA47A1A" w14:textId="77777777" w:rsidR="009600CF" w:rsidRPr="002D45C1" w:rsidRDefault="009600CF" w:rsidP="009600CF">
      <w:pPr>
        <w:jc w:val="both"/>
        <w:rPr>
          <w:rFonts w:ascii="Century Gothic" w:eastAsia="Century Gothic" w:hAnsi="Century Gothic" w:cs="Century Gothic"/>
        </w:rPr>
      </w:pPr>
      <w:r w:rsidRPr="002D45C1">
        <w:rPr>
          <w:rFonts w:ascii="Century Gothic" w:eastAsia="Century Gothic" w:hAnsi="Century Gothic" w:cs="Century Gothic"/>
        </w:rPr>
        <w:lastRenderedPageBreak/>
        <w:t xml:space="preserve">This Policy will be reviewed every two years, sooner if legislation, best practice or other circumstances indicate this is necessary.  It shall remain in force until any alterations are formally agreed.   </w:t>
      </w:r>
    </w:p>
    <w:p w14:paraId="62EBF3C5" w14:textId="77777777" w:rsidR="009F2E46" w:rsidRPr="001E1B44" w:rsidRDefault="009F2E46" w:rsidP="009600CF">
      <w:pPr>
        <w:pStyle w:val="Heading1"/>
        <w:keepNext w:val="0"/>
        <w:keepLines w:val="0"/>
        <w:shd w:val="clear" w:color="auto" w:fill="FFFFFF" w:themeFill="background1"/>
        <w:spacing w:before="0" w:after="160"/>
        <w:contextualSpacing/>
        <w:rPr>
          <w:rFonts w:ascii="Century Gothic" w:hAnsi="Century Gothic" w:cs="Tahoma"/>
          <w:color w:val="290076"/>
          <w:sz w:val="28"/>
          <w:szCs w:val="28"/>
        </w:rPr>
      </w:pPr>
    </w:p>
    <w:p w14:paraId="0A6959E7" w14:textId="77777777" w:rsidR="009F2E46" w:rsidRPr="001E1B44" w:rsidRDefault="009F2E46" w:rsidP="001E1B44">
      <w:pPr>
        <w:pStyle w:val="ListParagraph"/>
        <w:ind w:left="1439"/>
        <w:rPr>
          <w:rFonts w:ascii="Century Gothic" w:hAnsi="Century Gothic" w:cs="Tahoma"/>
          <w:sz w:val="18"/>
          <w:szCs w:val="18"/>
        </w:rPr>
      </w:pPr>
      <w:r w:rsidRPr="001E1B44">
        <w:rPr>
          <w:rFonts w:ascii="Century Gothic" w:hAnsi="Century Gothic" w:cs="Tahoma"/>
          <w:sz w:val="18"/>
          <w:szCs w:val="18"/>
        </w:rPr>
        <w:t xml:space="preserve"> </w:t>
      </w:r>
    </w:p>
    <w:sectPr w:rsidR="009F2E46" w:rsidRPr="001E1B44" w:rsidSect="002E75F4">
      <w:headerReference w:type="default" r:id="rId12"/>
      <w:footerReference w:type="default" r:id="rId13"/>
      <w:pgSz w:w="11906" w:h="16838"/>
      <w:pgMar w:top="2127"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C939EA" w:rsidRDefault="00C939EA" w:rsidP="009F2E46">
      <w:pPr>
        <w:spacing w:after="0" w:line="240" w:lineRule="auto"/>
      </w:pPr>
      <w:r>
        <w:separator/>
      </w:r>
    </w:p>
  </w:endnote>
  <w:endnote w:type="continuationSeparator" w:id="0">
    <w:p w14:paraId="5997CC1D" w14:textId="77777777" w:rsidR="00C939EA" w:rsidRDefault="00C939EA"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7483893B" w14:textId="5784FB3F"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4E2770" w:rsidRPr="004E2770">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2E75F4">
          <w:rPr>
            <w:rFonts w:ascii="Century Gothic" w:hAnsi="Century Gothic"/>
            <w:color w:val="7F7F7F" w:themeColor="background1" w:themeShade="7F"/>
            <w:spacing w:val="60"/>
            <w:sz w:val="18"/>
            <w:szCs w:val="18"/>
          </w:rPr>
          <w:tab/>
        </w:r>
        <w:r w:rsidR="002E75F4">
          <w:rPr>
            <w:rFonts w:ascii="Century Gothic" w:hAnsi="Century Gothic"/>
            <w:color w:val="7F7F7F" w:themeColor="background1" w:themeShade="7F"/>
            <w:spacing w:val="60"/>
            <w:sz w:val="18"/>
            <w:szCs w:val="18"/>
          </w:rPr>
          <w:tab/>
        </w:r>
        <w:r w:rsidR="002E75F4" w:rsidRPr="002E75F4">
          <w:rPr>
            <w:rStyle w:val="1bodycopy10ptChar"/>
            <w:rFonts w:ascii="Century Gothic" w:hAnsi="Century Gothic"/>
            <w:sz w:val="18"/>
            <w:szCs w:val="18"/>
          </w:rPr>
          <w:t>P36/0</w:t>
        </w:r>
        <w:r w:rsidR="00D51B74">
          <w:rPr>
            <w:rStyle w:val="1bodycopy10ptChar"/>
            <w:rFonts w:ascii="Century Gothic" w:hAnsi="Century Gothic"/>
            <w:sz w:val="18"/>
            <w:szCs w:val="18"/>
          </w:rPr>
          <w:t>2</w:t>
        </w:r>
        <w:r w:rsidR="002E75F4" w:rsidRPr="002E75F4">
          <w:rPr>
            <w:rStyle w:val="1bodycopy10ptChar"/>
            <w:rFonts w:ascii="Century Gothic" w:hAnsi="Century Gothic"/>
            <w:sz w:val="18"/>
            <w:szCs w:val="18"/>
          </w:rPr>
          <w:t>/No</w:t>
        </w:r>
        <w:r w:rsidR="0099550C">
          <w:rPr>
            <w:rStyle w:val="1bodycopy10ptChar"/>
            <w:rFonts w:ascii="Century Gothic" w:hAnsi="Century Gothic"/>
            <w:sz w:val="18"/>
            <w:szCs w:val="18"/>
          </w:rPr>
          <w:t>v25</w:t>
        </w:r>
      </w:p>
      <w:p w14:paraId="110FFD37" w14:textId="77777777"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6B699379" w14:textId="77777777" w:rsidR="00684286" w:rsidRDefault="0068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23F" w14:textId="77777777" w:rsidR="00C939EA" w:rsidRDefault="00C939EA" w:rsidP="009F2E46">
      <w:pPr>
        <w:spacing w:after="0" w:line="240" w:lineRule="auto"/>
      </w:pPr>
      <w:r>
        <w:separator/>
      </w:r>
    </w:p>
  </w:footnote>
  <w:footnote w:type="continuationSeparator" w:id="0">
    <w:p w14:paraId="1F72F646" w14:textId="77777777" w:rsidR="00C939EA" w:rsidRDefault="00C939EA"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2C2F" w14:textId="77777777" w:rsidR="00684286" w:rsidRDefault="002E75F4">
    <w:pPr>
      <w:pStyle w:val="Header"/>
    </w:pPr>
    <w:r>
      <w:rPr>
        <w:noProof/>
      </w:rPr>
      <w:drawing>
        <wp:anchor distT="0" distB="0" distL="114300" distR="114300" simplePos="0" relativeHeight="251658240" behindDoc="1" locked="0" layoutInCell="1" allowOverlap="1" wp14:anchorId="47A29C09" wp14:editId="07777777">
          <wp:simplePos x="0" y="0"/>
          <wp:positionH relativeFrom="column">
            <wp:posOffset>4838700</wp:posOffset>
          </wp:positionH>
          <wp:positionV relativeFrom="paragraph">
            <wp:posOffset>30480</wp:posOffset>
          </wp:positionV>
          <wp:extent cx="1518036" cy="75597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96A264CC"/>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0A7CF6"/>
    <w:multiLevelType w:val="hybridMultilevel"/>
    <w:tmpl w:val="7FE29FEC"/>
    <w:lvl w:ilvl="0" w:tplc="E124D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30B0C"/>
    <w:multiLevelType w:val="hybridMultilevel"/>
    <w:tmpl w:val="99561DA2"/>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0729EB"/>
    <w:multiLevelType w:val="hybridMultilevel"/>
    <w:tmpl w:val="BCFED6D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D70AD"/>
    <w:multiLevelType w:val="hybridMultilevel"/>
    <w:tmpl w:val="FCB09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42D66"/>
    <w:multiLevelType w:val="hybridMultilevel"/>
    <w:tmpl w:val="C2862C58"/>
    <w:lvl w:ilvl="0" w:tplc="E124D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1F183F"/>
    <w:multiLevelType w:val="multilevel"/>
    <w:tmpl w:val="C764E6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F42658"/>
    <w:multiLevelType w:val="multilevel"/>
    <w:tmpl w:val="7DA82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790312"/>
    <w:multiLevelType w:val="hybridMultilevel"/>
    <w:tmpl w:val="EBC20404"/>
    <w:lvl w:ilvl="0" w:tplc="E124D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629A086B"/>
    <w:multiLevelType w:val="hybridMultilevel"/>
    <w:tmpl w:val="2F1E1484"/>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3B7A28"/>
    <w:multiLevelType w:val="hybridMultilevel"/>
    <w:tmpl w:val="F880D39C"/>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A18E9"/>
    <w:multiLevelType w:val="multilevel"/>
    <w:tmpl w:val="9E6E47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6706C"/>
    <w:multiLevelType w:val="hybridMultilevel"/>
    <w:tmpl w:val="393E794C"/>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3649389">
    <w:abstractNumId w:val="12"/>
  </w:num>
  <w:num w:numId="2" w16cid:durableId="125860086">
    <w:abstractNumId w:val="10"/>
  </w:num>
  <w:num w:numId="3" w16cid:durableId="185364893">
    <w:abstractNumId w:val="27"/>
  </w:num>
  <w:num w:numId="4" w16cid:durableId="1003751071">
    <w:abstractNumId w:val="25"/>
  </w:num>
  <w:num w:numId="5" w16cid:durableId="1817141768">
    <w:abstractNumId w:val="3"/>
  </w:num>
  <w:num w:numId="6" w16cid:durableId="2363807">
    <w:abstractNumId w:val="12"/>
    <w:lvlOverride w:ilvl="0">
      <w:startOverride w:val="1"/>
    </w:lvlOverride>
  </w:num>
  <w:num w:numId="7" w16cid:durableId="1267543458">
    <w:abstractNumId w:val="12"/>
    <w:lvlOverride w:ilvl="0">
      <w:startOverride w:val="1"/>
    </w:lvlOverride>
  </w:num>
  <w:num w:numId="8" w16cid:durableId="1723943920">
    <w:abstractNumId w:val="18"/>
  </w:num>
  <w:num w:numId="9" w16cid:durableId="1984583684">
    <w:abstractNumId w:val="7"/>
  </w:num>
  <w:num w:numId="10" w16cid:durableId="81804015">
    <w:abstractNumId w:val="8"/>
  </w:num>
  <w:num w:numId="11" w16cid:durableId="1010522130">
    <w:abstractNumId w:val="22"/>
  </w:num>
  <w:num w:numId="12" w16cid:durableId="812910634">
    <w:abstractNumId w:val="31"/>
  </w:num>
  <w:num w:numId="13" w16cid:durableId="1366060553">
    <w:abstractNumId w:val="1"/>
  </w:num>
  <w:num w:numId="14" w16cid:durableId="58792556">
    <w:abstractNumId w:val="23"/>
  </w:num>
  <w:num w:numId="15" w16cid:durableId="1918708099">
    <w:abstractNumId w:val="35"/>
  </w:num>
  <w:num w:numId="16" w16cid:durableId="328145342">
    <w:abstractNumId w:val="26"/>
  </w:num>
  <w:num w:numId="17" w16cid:durableId="1771126090">
    <w:abstractNumId w:val="9"/>
  </w:num>
  <w:num w:numId="18" w16cid:durableId="1596668158">
    <w:abstractNumId w:val="11"/>
  </w:num>
  <w:num w:numId="19" w16cid:durableId="130097250">
    <w:abstractNumId w:val="15"/>
  </w:num>
  <w:num w:numId="20" w16cid:durableId="776096585">
    <w:abstractNumId w:val="32"/>
  </w:num>
  <w:num w:numId="21" w16cid:durableId="1025209822">
    <w:abstractNumId w:val="4"/>
  </w:num>
  <w:num w:numId="22" w16cid:durableId="1810517543">
    <w:abstractNumId w:val="13"/>
  </w:num>
  <w:num w:numId="23" w16cid:durableId="1979265477">
    <w:abstractNumId w:val="17"/>
  </w:num>
  <w:num w:numId="24" w16cid:durableId="1859393167">
    <w:abstractNumId w:val="30"/>
  </w:num>
  <w:num w:numId="25" w16cid:durableId="1040738600">
    <w:abstractNumId w:val="34"/>
  </w:num>
  <w:num w:numId="26" w16cid:durableId="596720662">
    <w:abstractNumId w:val="20"/>
  </w:num>
  <w:num w:numId="27" w16cid:durableId="199585637">
    <w:abstractNumId w:val="0"/>
  </w:num>
  <w:num w:numId="28" w16cid:durableId="905722048">
    <w:abstractNumId w:val="33"/>
  </w:num>
  <w:num w:numId="29" w16cid:durableId="380524299">
    <w:abstractNumId w:val="19"/>
  </w:num>
  <w:num w:numId="30" w16cid:durableId="1531140338">
    <w:abstractNumId w:val="14"/>
  </w:num>
  <w:num w:numId="31" w16cid:durableId="212084425">
    <w:abstractNumId w:val="21"/>
  </w:num>
  <w:num w:numId="32" w16cid:durableId="2096977812">
    <w:abstractNumId w:val="28"/>
  </w:num>
  <w:num w:numId="33" w16cid:durableId="1913926376">
    <w:abstractNumId w:val="2"/>
  </w:num>
  <w:num w:numId="34" w16cid:durableId="168100020">
    <w:abstractNumId w:val="29"/>
  </w:num>
  <w:num w:numId="35" w16cid:durableId="149293548">
    <w:abstractNumId w:val="5"/>
  </w:num>
  <w:num w:numId="36" w16cid:durableId="1589735365">
    <w:abstractNumId w:val="36"/>
  </w:num>
  <w:num w:numId="37" w16cid:durableId="660543777">
    <w:abstractNumId w:val="24"/>
  </w:num>
  <w:num w:numId="38" w16cid:durableId="88475258">
    <w:abstractNumId w:val="16"/>
  </w:num>
  <w:num w:numId="39" w16cid:durableId="956184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0B3D71"/>
    <w:rsid w:val="001E1B44"/>
    <w:rsid w:val="002E75F4"/>
    <w:rsid w:val="00324B54"/>
    <w:rsid w:val="003A1200"/>
    <w:rsid w:val="00461F6F"/>
    <w:rsid w:val="004E2770"/>
    <w:rsid w:val="004E55AE"/>
    <w:rsid w:val="00514072"/>
    <w:rsid w:val="00610AF9"/>
    <w:rsid w:val="00684286"/>
    <w:rsid w:val="00765D9A"/>
    <w:rsid w:val="007A7517"/>
    <w:rsid w:val="008577AC"/>
    <w:rsid w:val="00897D79"/>
    <w:rsid w:val="008B6CBB"/>
    <w:rsid w:val="009342DA"/>
    <w:rsid w:val="009600CF"/>
    <w:rsid w:val="0099550C"/>
    <w:rsid w:val="009F2E46"/>
    <w:rsid w:val="00A072DD"/>
    <w:rsid w:val="00A51D45"/>
    <w:rsid w:val="00B06A19"/>
    <w:rsid w:val="00B14B96"/>
    <w:rsid w:val="00B57368"/>
    <w:rsid w:val="00BB6B02"/>
    <w:rsid w:val="00C37493"/>
    <w:rsid w:val="00C939EA"/>
    <w:rsid w:val="00D51B74"/>
    <w:rsid w:val="00D57DF0"/>
    <w:rsid w:val="00DB7CB6"/>
    <w:rsid w:val="00EC1254"/>
    <w:rsid w:val="00EF633F"/>
    <w:rsid w:val="00FA2AE4"/>
    <w:rsid w:val="00FF0AD2"/>
    <w:rsid w:val="041AB618"/>
    <w:rsid w:val="0766361F"/>
    <w:rsid w:val="0881CA96"/>
    <w:rsid w:val="08AD51AD"/>
    <w:rsid w:val="0F0761BD"/>
    <w:rsid w:val="14511CE0"/>
    <w:rsid w:val="18B166E7"/>
    <w:rsid w:val="1D0BBB43"/>
    <w:rsid w:val="2552416B"/>
    <w:rsid w:val="2A0A80EA"/>
    <w:rsid w:val="3083CD15"/>
    <w:rsid w:val="33ED2C17"/>
    <w:rsid w:val="3463265B"/>
    <w:rsid w:val="4BBEFC43"/>
    <w:rsid w:val="55E3A8A1"/>
    <w:rsid w:val="594401A8"/>
    <w:rsid w:val="621709BA"/>
    <w:rsid w:val="63981E4E"/>
    <w:rsid w:val="7560A8E0"/>
    <w:rsid w:val="77D8A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D2012"/>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NormalWeb">
    <w:name w:val="Normal (Web)"/>
    <w:basedOn w:val="Normal"/>
    <w:uiPriority w:val="99"/>
    <w:unhideWhenUsed/>
    <w:rsid w:val="009600C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perthr.co.uk/policies-and-documents/data-protection-policy/1626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534b75b2c1a6f46c5dbc3963edaf1c17">
  <xsd:schema xmlns:xsd="http://www.w3.org/2001/XMLSchema" xmlns:xs="http://www.w3.org/2001/XMLSchema" xmlns:p="http://schemas.microsoft.com/office/2006/metadata/properties" xmlns:ns2="dfce0e22-7519-4b1f-a374-0c70beed23e5" targetNamespace="http://schemas.microsoft.com/office/2006/metadata/properties" ma:root="true" ma:fieldsID="2e10ff8e378a90e0ef3d4bfab42fa946"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B2518-F714-4686-9445-54330C7F5229}">
  <ds:schemaRefs>
    <ds:schemaRef ds:uri="http://schemas.microsoft.com/office/2006/documentManagement/types"/>
    <ds:schemaRef ds:uri="dfce0e22-7519-4b1f-a374-0c70beed23e5"/>
    <ds:schemaRef ds:uri="http://purl.org/dc/elements/1.1/"/>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837E88-E588-4086-93EF-B60F14BD7363}">
  <ds:schemaRefs>
    <ds:schemaRef ds:uri="http://schemas.microsoft.com/sharepoint/v3/contenttype/forms"/>
  </ds:schemaRefs>
</ds:datastoreItem>
</file>

<file path=customXml/itemProps3.xml><?xml version="1.0" encoding="utf-8"?>
<ds:datastoreItem xmlns:ds="http://schemas.openxmlformats.org/officeDocument/2006/customXml" ds:itemID="{D00D5F23-2391-4375-AFAB-7EF479A1F006}"/>
</file>

<file path=customXml/itemProps4.xml><?xml version="1.0" encoding="utf-8"?>
<ds:datastoreItem xmlns:ds="http://schemas.openxmlformats.org/officeDocument/2006/customXml" ds:itemID="{D373EC60-7DE0-4CE8-9D7F-A1262185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1320</Words>
  <Characters>6804</Characters>
  <Application>Microsoft Office Word</Application>
  <DocSecurity>0</DocSecurity>
  <Lines>183</Lines>
  <Paragraphs>94</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10</cp:revision>
  <dcterms:created xsi:type="dcterms:W3CDTF">2023-11-06T15:51:00Z</dcterms:created>
  <dcterms:modified xsi:type="dcterms:W3CDTF">2025-12-23T15:52:00Z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