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E46" w:rsidRPr="001E1B44" w:rsidRDefault="009F2E46" w:rsidP="00684286">
      <w:pPr>
        <w:pStyle w:val="Title"/>
        <w:rPr>
          <w:rFonts w:ascii="Century Gothic" w:hAnsi="Century Gothic"/>
          <w:lang w:val="en-US"/>
        </w:rPr>
      </w:pPr>
    </w:p>
    <w:p w:rsidR="009F2E46" w:rsidRPr="001E1B44" w:rsidRDefault="009F2E46" w:rsidP="00684286">
      <w:pPr>
        <w:pStyle w:val="Title"/>
        <w:rPr>
          <w:rFonts w:ascii="Century Gothic" w:hAnsi="Century Gothic"/>
          <w:lang w:val="en-US"/>
        </w:rPr>
      </w:pPr>
    </w:p>
    <w:p w:rsidR="008B6CBB" w:rsidRPr="001E1B44" w:rsidRDefault="00F36921" w:rsidP="001E1B44">
      <w:pPr>
        <w:pStyle w:val="Title"/>
        <w:rPr>
          <w:rFonts w:ascii="Century Gothic" w:hAnsi="Century Gothic"/>
          <w:b/>
          <w:lang w:val="en-US"/>
        </w:rPr>
      </w:pPr>
      <w:r>
        <w:rPr>
          <w:rFonts w:ascii="Century Gothic" w:hAnsi="Century Gothic"/>
          <w:b/>
          <w:lang w:val="en-US"/>
        </w:rPr>
        <w:t>Health and Safety Policy</w:t>
      </w: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3A1200" w:rsidRDefault="003A1200" w:rsidP="00684286">
      <w:pPr>
        <w:rPr>
          <w:rFonts w:ascii="Century Gothic" w:hAnsi="Century Gothic"/>
          <w:lang w:val="en-US"/>
        </w:rPr>
      </w:pPr>
    </w:p>
    <w:p w:rsidR="003A1200" w:rsidRDefault="003A1200" w:rsidP="00684286">
      <w:pPr>
        <w:rPr>
          <w:rFonts w:ascii="Century Gothic" w:hAnsi="Century Gothic"/>
          <w:lang w:val="en-US"/>
        </w:rPr>
      </w:pPr>
    </w:p>
    <w:p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rsidR="004E55AE" w:rsidRPr="001E1B44" w:rsidRDefault="00F36921" w:rsidP="00684286">
            <w:pPr>
              <w:rPr>
                <w:rFonts w:ascii="Century Gothic" w:hAnsi="Century Gothic"/>
                <w:sz w:val="20"/>
                <w:szCs w:val="20"/>
                <w:lang w:val="en-US"/>
              </w:rPr>
            </w:pPr>
            <w:r>
              <w:rPr>
                <w:rFonts w:ascii="Century Gothic" w:hAnsi="Century Gothic"/>
                <w:sz w:val="20"/>
                <w:szCs w:val="20"/>
                <w:lang w:val="en-US"/>
              </w:rPr>
              <w:t>Executive Director</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rsidR="004E55AE" w:rsidRPr="001E1B44" w:rsidRDefault="00F36921" w:rsidP="00684286">
            <w:pPr>
              <w:rPr>
                <w:rFonts w:ascii="Century Gothic" w:hAnsi="Century Gothic"/>
                <w:sz w:val="20"/>
                <w:szCs w:val="20"/>
                <w:lang w:val="en-US"/>
              </w:rPr>
            </w:pPr>
            <w:r>
              <w:rPr>
                <w:rFonts w:ascii="Century Gothic" w:hAnsi="Century Gothic"/>
                <w:sz w:val="20"/>
                <w:szCs w:val="20"/>
                <w:lang w:val="en-US"/>
              </w:rPr>
              <w:t>November 2023</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rsidR="004E55AE" w:rsidRPr="001E1B44" w:rsidRDefault="00A95084" w:rsidP="00684286">
            <w:pPr>
              <w:rPr>
                <w:rFonts w:ascii="Century Gothic" w:hAnsi="Century Gothic"/>
                <w:sz w:val="20"/>
                <w:szCs w:val="20"/>
                <w:lang w:val="en-US"/>
              </w:rPr>
            </w:pPr>
            <w:r>
              <w:rPr>
                <w:rFonts w:ascii="Century Gothic" w:hAnsi="Century Gothic"/>
                <w:sz w:val="20"/>
                <w:szCs w:val="20"/>
                <w:lang w:val="en-US"/>
              </w:rPr>
              <w:t xml:space="preserve">Craig Mincher, Managing </w:t>
            </w:r>
            <w:r w:rsidR="00CC545B">
              <w:rPr>
                <w:rFonts w:ascii="Century Gothic" w:hAnsi="Century Gothic"/>
                <w:sz w:val="20"/>
                <w:szCs w:val="20"/>
                <w:lang w:val="en-US"/>
              </w:rPr>
              <w:t>Director</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rsidR="004E55AE" w:rsidRPr="001E1B44" w:rsidRDefault="00F36921" w:rsidP="00684286">
            <w:pPr>
              <w:rPr>
                <w:rFonts w:ascii="Century Gothic" w:hAnsi="Century Gothic"/>
                <w:sz w:val="20"/>
                <w:szCs w:val="20"/>
                <w:lang w:val="en-US"/>
              </w:rPr>
            </w:pPr>
            <w:r>
              <w:rPr>
                <w:rFonts w:ascii="Century Gothic" w:hAnsi="Century Gothic"/>
                <w:sz w:val="20"/>
                <w:szCs w:val="20"/>
                <w:lang w:val="en-US"/>
              </w:rPr>
              <w:t>September 2021</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rsidR="004E55AE" w:rsidRPr="001E1B44" w:rsidRDefault="00241FC7" w:rsidP="00684286">
            <w:pPr>
              <w:rPr>
                <w:rFonts w:ascii="Century Gothic" w:hAnsi="Century Gothic"/>
                <w:sz w:val="20"/>
                <w:szCs w:val="20"/>
                <w:lang w:val="en-US"/>
              </w:rPr>
            </w:pPr>
            <w:r>
              <w:rPr>
                <w:rFonts w:ascii="Century Gothic" w:hAnsi="Century Gothic"/>
                <w:sz w:val="20"/>
                <w:szCs w:val="20"/>
                <w:lang w:val="en-US"/>
              </w:rPr>
              <w:t>November 2026</w:t>
            </w:r>
          </w:p>
        </w:tc>
      </w:tr>
    </w:tbl>
    <w:p w:rsidR="00461F6F" w:rsidRPr="001E1B44" w:rsidRDefault="00461F6F" w:rsidP="00684286">
      <w:pPr>
        <w:rPr>
          <w:rFonts w:ascii="Century Gothic" w:hAnsi="Century Gothic" w:cs="Tahoma"/>
          <w:color w:val="290076"/>
          <w:lang w:eastAsia="en-GB"/>
        </w:rPr>
      </w:pPr>
    </w:p>
    <w:p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715"/>
        <w:gridCol w:w="4642"/>
        <w:gridCol w:w="1826"/>
      </w:tblGrid>
      <w:tr w:rsidR="004E55AE" w:rsidRPr="001E1B44" w:rsidTr="00F36921">
        <w:tc>
          <w:tcPr>
            <w:tcW w:w="797"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F36921" w:rsidRPr="001E1B44" w:rsidTr="00F36921">
        <w:tc>
          <w:tcPr>
            <w:tcW w:w="797" w:type="pct"/>
            <w:tcBorders>
              <w:top w:val="single" w:sz="4" w:space="0" w:color="auto"/>
              <w:left w:val="single" w:sz="4" w:space="0" w:color="auto"/>
              <w:bottom w:val="single" w:sz="4" w:space="0" w:color="auto"/>
              <w:right w:val="single" w:sz="4" w:space="0" w:color="auto"/>
            </w:tcBorders>
          </w:tcPr>
          <w:p w:rsidR="00F36921" w:rsidRPr="00A07591" w:rsidRDefault="00F36921" w:rsidP="00F36921">
            <w:pPr>
              <w:spacing w:after="0" w:line="240" w:lineRule="auto"/>
              <w:rPr>
                <w:rFonts w:ascii="Century Gothic" w:eastAsia="Calibri" w:hAnsi="Century Gothic"/>
                <w:sz w:val="18"/>
                <w:szCs w:val="18"/>
              </w:rPr>
            </w:pPr>
            <w:r w:rsidRPr="00A07591">
              <w:rPr>
                <w:rFonts w:ascii="Century Gothic" w:eastAsia="Calibri" w:hAnsi="Century Gothic"/>
                <w:sz w:val="18"/>
                <w:szCs w:val="18"/>
              </w:rPr>
              <w:t>1</w:t>
            </w:r>
          </w:p>
        </w:tc>
        <w:tc>
          <w:tcPr>
            <w:tcW w:w="881" w:type="pct"/>
            <w:tcBorders>
              <w:top w:val="single" w:sz="4" w:space="0" w:color="auto"/>
              <w:left w:val="single" w:sz="4" w:space="0" w:color="auto"/>
              <w:bottom w:val="single" w:sz="4" w:space="0" w:color="auto"/>
              <w:right w:val="single" w:sz="4" w:space="0" w:color="auto"/>
            </w:tcBorders>
          </w:tcPr>
          <w:p w:rsidR="00F36921" w:rsidRPr="00A07591" w:rsidRDefault="00F36921" w:rsidP="00F36921">
            <w:pPr>
              <w:spacing w:after="0" w:line="240" w:lineRule="auto"/>
              <w:rPr>
                <w:rFonts w:ascii="Century Gothic" w:eastAsia="Calibri" w:hAnsi="Century Gothic"/>
                <w:sz w:val="18"/>
                <w:szCs w:val="18"/>
              </w:rPr>
            </w:pPr>
            <w:r w:rsidRPr="00A07591">
              <w:rPr>
                <w:rFonts w:ascii="Century Gothic" w:eastAsia="Calibri" w:hAnsi="Century Gothic"/>
                <w:sz w:val="18"/>
                <w:szCs w:val="18"/>
              </w:rPr>
              <w:t>24/09/2021</w:t>
            </w:r>
          </w:p>
        </w:tc>
        <w:tc>
          <w:tcPr>
            <w:tcW w:w="2384" w:type="pct"/>
            <w:tcBorders>
              <w:top w:val="single" w:sz="4" w:space="0" w:color="auto"/>
              <w:left w:val="single" w:sz="4" w:space="0" w:color="auto"/>
              <w:bottom w:val="single" w:sz="4" w:space="0" w:color="auto"/>
              <w:right w:val="single" w:sz="4" w:space="0" w:color="auto"/>
            </w:tcBorders>
          </w:tcPr>
          <w:p w:rsidR="00F36921" w:rsidRPr="00A07591" w:rsidRDefault="00F36921" w:rsidP="00F36921">
            <w:pPr>
              <w:spacing w:after="0" w:line="240" w:lineRule="auto"/>
              <w:rPr>
                <w:rFonts w:ascii="Century Gothic" w:eastAsia="Calibri" w:hAnsi="Century Gothic"/>
                <w:sz w:val="18"/>
                <w:szCs w:val="18"/>
              </w:rPr>
            </w:pPr>
            <w:r w:rsidRPr="00A07591">
              <w:rPr>
                <w:rFonts w:ascii="Century Gothic" w:eastAsia="Calibri" w:hAnsi="Century Gothic"/>
                <w:sz w:val="18"/>
                <w:szCs w:val="18"/>
              </w:rPr>
              <w:t>New policy statement</w:t>
            </w:r>
          </w:p>
        </w:tc>
        <w:tc>
          <w:tcPr>
            <w:tcW w:w="939" w:type="pct"/>
            <w:tcBorders>
              <w:top w:val="single" w:sz="4" w:space="0" w:color="auto"/>
              <w:left w:val="single" w:sz="4" w:space="0" w:color="auto"/>
              <w:bottom w:val="single" w:sz="4" w:space="0" w:color="auto"/>
              <w:right w:val="single" w:sz="4" w:space="0" w:color="auto"/>
            </w:tcBorders>
          </w:tcPr>
          <w:p w:rsidR="00F36921" w:rsidRPr="00A07591" w:rsidRDefault="00F36921" w:rsidP="00F36921">
            <w:pPr>
              <w:spacing w:after="0" w:line="240" w:lineRule="auto"/>
              <w:rPr>
                <w:rFonts w:ascii="Century Gothic" w:eastAsia="Calibri" w:hAnsi="Century Gothic"/>
                <w:sz w:val="18"/>
                <w:szCs w:val="18"/>
              </w:rPr>
            </w:pPr>
            <w:r w:rsidRPr="00A07591">
              <w:rPr>
                <w:rFonts w:ascii="Century Gothic" w:eastAsia="Calibri" w:hAnsi="Century Gothic"/>
                <w:sz w:val="18"/>
                <w:szCs w:val="18"/>
              </w:rPr>
              <w:t>KA, HRV</w:t>
            </w:r>
          </w:p>
        </w:tc>
      </w:tr>
      <w:tr w:rsidR="00F36921" w:rsidRPr="001E1B44" w:rsidTr="00F36921">
        <w:tc>
          <w:tcPr>
            <w:tcW w:w="797" w:type="pct"/>
            <w:tcBorders>
              <w:top w:val="single" w:sz="4" w:space="0" w:color="auto"/>
              <w:left w:val="single" w:sz="4" w:space="0" w:color="auto"/>
              <w:bottom w:val="single" w:sz="4" w:space="0" w:color="auto"/>
              <w:right w:val="single" w:sz="4" w:space="0" w:color="auto"/>
            </w:tcBorders>
          </w:tcPr>
          <w:p w:rsidR="00F36921" w:rsidRPr="00A07591" w:rsidRDefault="00F36921" w:rsidP="00F36921">
            <w:pPr>
              <w:spacing w:after="0" w:line="240" w:lineRule="auto"/>
              <w:rPr>
                <w:rFonts w:ascii="Century Gothic" w:eastAsia="Calibri" w:hAnsi="Century Gothic" w:cs="Tahoma"/>
                <w:sz w:val="18"/>
                <w:szCs w:val="18"/>
              </w:rPr>
            </w:pPr>
            <w:r w:rsidRPr="00A07591">
              <w:rPr>
                <w:rFonts w:ascii="Century Gothic" w:eastAsia="Calibri" w:hAnsi="Century Gothic" w:cs="Tahoma"/>
                <w:sz w:val="18"/>
                <w:szCs w:val="18"/>
              </w:rPr>
              <w:t>2</w:t>
            </w:r>
          </w:p>
        </w:tc>
        <w:tc>
          <w:tcPr>
            <w:tcW w:w="881" w:type="pct"/>
            <w:tcBorders>
              <w:top w:val="single" w:sz="4" w:space="0" w:color="auto"/>
              <w:left w:val="single" w:sz="4" w:space="0" w:color="auto"/>
              <w:bottom w:val="single" w:sz="4" w:space="0" w:color="auto"/>
              <w:right w:val="single" w:sz="4" w:space="0" w:color="auto"/>
            </w:tcBorders>
          </w:tcPr>
          <w:p w:rsidR="00F36921" w:rsidRPr="00A07591" w:rsidRDefault="00F36921" w:rsidP="00F36921">
            <w:pPr>
              <w:spacing w:after="0" w:line="240" w:lineRule="auto"/>
              <w:rPr>
                <w:rFonts w:ascii="Century Gothic" w:eastAsia="Calibri" w:hAnsi="Century Gothic" w:cs="Tahoma"/>
                <w:sz w:val="18"/>
                <w:szCs w:val="18"/>
              </w:rPr>
            </w:pPr>
            <w:r w:rsidRPr="00A07591">
              <w:rPr>
                <w:rFonts w:ascii="Century Gothic" w:eastAsia="Calibri" w:hAnsi="Century Gothic" w:cs="Tahoma"/>
                <w:sz w:val="18"/>
                <w:szCs w:val="18"/>
              </w:rPr>
              <w:t>15/11/2023</w:t>
            </w:r>
          </w:p>
        </w:tc>
        <w:tc>
          <w:tcPr>
            <w:tcW w:w="2384" w:type="pct"/>
            <w:tcBorders>
              <w:top w:val="single" w:sz="4" w:space="0" w:color="auto"/>
              <w:left w:val="single" w:sz="4" w:space="0" w:color="auto"/>
              <w:bottom w:val="single" w:sz="4" w:space="0" w:color="auto"/>
              <w:right w:val="single" w:sz="4" w:space="0" w:color="auto"/>
            </w:tcBorders>
          </w:tcPr>
          <w:p w:rsidR="00F36921" w:rsidRPr="00A07591" w:rsidRDefault="00F36921" w:rsidP="00F36921">
            <w:pPr>
              <w:spacing w:after="0" w:line="240" w:lineRule="auto"/>
              <w:rPr>
                <w:rFonts w:ascii="Century Gothic" w:eastAsia="Calibri" w:hAnsi="Century Gothic" w:cs="Tahoma"/>
                <w:sz w:val="18"/>
                <w:szCs w:val="18"/>
              </w:rPr>
            </w:pPr>
            <w:r w:rsidRPr="00A07591">
              <w:rPr>
                <w:rFonts w:ascii="Century Gothic" w:eastAsia="Calibri" w:hAnsi="Century Gothic" w:cs="Tahoma"/>
                <w:sz w:val="18"/>
                <w:szCs w:val="18"/>
              </w:rPr>
              <w:t xml:space="preserve">Policy re-write and </w:t>
            </w:r>
            <w:r w:rsidR="00241FC7" w:rsidRPr="00A07591">
              <w:rPr>
                <w:rFonts w:ascii="Century Gothic" w:eastAsia="Calibri" w:hAnsi="Century Gothic" w:cs="Tahoma"/>
                <w:sz w:val="18"/>
                <w:szCs w:val="18"/>
              </w:rPr>
              <w:t>new format</w:t>
            </w:r>
          </w:p>
        </w:tc>
        <w:tc>
          <w:tcPr>
            <w:tcW w:w="939" w:type="pct"/>
            <w:tcBorders>
              <w:top w:val="single" w:sz="4" w:space="0" w:color="auto"/>
              <w:left w:val="single" w:sz="4" w:space="0" w:color="auto"/>
              <w:bottom w:val="single" w:sz="4" w:space="0" w:color="auto"/>
              <w:right w:val="single" w:sz="4" w:space="0" w:color="auto"/>
            </w:tcBorders>
          </w:tcPr>
          <w:p w:rsidR="00F36921" w:rsidRPr="00A07591" w:rsidRDefault="00F36921" w:rsidP="00F36921">
            <w:pPr>
              <w:spacing w:after="0" w:line="240" w:lineRule="auto"/>
              <w:rPr>
                <w:rFonts w:ascii="Century Gothic" w:eastAsia="Calibri" w:hAnsi="Century Gothic" w:cs="Tahoma"/>
                <w:sz w:val="18"/>
                <w:szCs w:val="18"/>
              </w:rPr>
            </w:pPr>
            <w:r w:rsidRPr="00A07591">
              <w:rPr>
                <w:rFonts w:ascii="Century Gothic" w:eastAsia="Calibri" w:hAnsi="Century Gothic" w:cs="Tahoma"/>
                <w:sz w:val="18"/>
                <w:szCs w:val="18"/>
              </w:rPr>
              <w:t>CM</w:t>
            </w:r>
          </w:p>
        </w:tc>
      </w:tr>
    </w:tbl>
    <w:p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rsidR="00F36921"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50796926" w:history="1">
        <w:r w:rsidR="00F36921" w:rsidRPr="00ED7AE6">
          <w:rPr>
            <w:rStyle w:val="Hyperlink"/>
            <w:rFonts w:ascii="Century Gothic" w:hAnsi="Century Gothic" w:cs="Tahoma"/>
            <w:noProof/>
          </w:rPr>
          <w:t>1.</w:t>
        </w:r>
        <w:r w:rsidR="00F36921">
          <w:rPr>
            <w:rFonts w:asciiTheme="minorHAnsi" w:eastAsiaTheme="minorEastAsia" w:hAnsiTheme="minorHAnsi" w:cstheme="minorBidi"/>
            <w:noProof/>
            <w:sz w:val="22"/>
            <w:szCs w:val="22"/>
            <w:lang w:val="en-GB" w:eastAsia="en-GB"/>
          </w:rPr>
          <w:tab/>
        </w:r>
        <w:r w:rsidR="00F36921" w:rsidRPr="00ED7AE6">
          <w:rPr>
            <w:rStyle w:val="Hyperlink"/>
            <w:rFonts w:ascii="Century Gothic" w:hAnsi="Century Gothic" w:cs="Tahoma"/>
            <w:noProof/>
          </w:rPr>
          <w:t>Introduction</w:t>
        </w:r>
        <w:r w:rsidR="00F36921">
          <w:rPr>
            <w:noProof/>
            <w:webHidden/>
          </w:rPr>
          <w:tab/>
        </w:r>
        <w:r w:rsidR="00F36921">
          <w:rPr>
            <w:noProof/>
            <w:webHidden/>
          </w:rPr>
          <w:fldChar w:fldCharType="begin"/>
        </w:r>
        <w:r w:rsidR="00F36921">
          <w:rPr>
            <w:noProof/>
            <w:webHidden/>
          </w:rPr>
          <w:instrText xml:space="preserve"> PAGEREF _Toc150796926 \h </w:instrText>
        </w:r>
        <w:r w:rsidR="00F36921">
          <w:rPr>
            <w:noProof/>
            <w:webHidden/>
          </w:rPr>
        </w:r>
        <w:r w:rsidR="00F36921">
          <w:rPr>
            <w:noProof/>
            <w:webHidden/>
          </w:rPr>
          <w:fldChar w:fldCharType="separate"/>
        </w:r>
        <w:r w:rsidR="00F36921">
          <w:rPr>
            <w:noProof/>
            <w:webHidden/>
          </w:rPr>
          <w:t>2</w:t>
        </w:r>
        <w:r w:rsidR="00F36921">
          <w:rPr>
            <w:noProof/>
            <w:webHidden/>
          </w:rPr>
          <w:fldChar w:fldCharType="end"/>
        </w:r>
      </w:hyperlink>
    </w:p>
    <w:p w:rsidR="00F36921" w:rsidRDefault="008F6520">
      <w:pPr>
        <w:pStyle w:val="TOC1"/>
        <w:rPr>
          <w:rFonts w:asciiTheme="minorHAnsi" w:eastAsiaTheme="minorEastAsia" w:hAnsiTheme="minorHAnsi" w:cstheme="minorBidi"/>
          <w:noProof/>
          <w:sz w:val="22"/>
          <w:szCs w:val="22"/>
          <w:lang w:val="en-GB" w:eastAsia="en-GB"/>
        </w:rPr>
      </w:pPr>
      <w:hyperlink w:anchor="_Toc150796927" w:history="1">
        <w:r w:rsidR="00F36921" w:rsidRPr="00ED7AE6">
          <w:rPr>
            <w:rStyle w:val="Hyperlink"/>
            <w:rFonts w:ascii="Century Gothic" w:hAnsi="Century Gothic" w:cs="Tahoma"/>
            <w:noProof/>
          </w:rPr>
          <w:t>2.</w:t>
        </w:r>
        <w:r w:rsidR="00F36921">
          <w:rPr>
            <w:rFonts w:asciiTheme="minorHAnsi" w:eastAsiaTheme="minorEastAsia" w:hAnsiTheme="minorHAnsi" w:cstheme="minorBidi"/>
            <w:noProof/>
            <w:sz w:val="22"/>
            <w:szCs w:val="22"/>
            <w:lang w:val="en-GB" w:eastAsia="en-GB"/>
          </w:rPr>
          <w:tab/>
        </w:r>
        <w:r w:rsidR="00F36921" w:rsidRPr="00ED7AE6">
          <w:rPr>
            <w:rStyle w:val="Hyperlink"/>
            <w:rFonts w:ascii="Century Gothic" w:hAnsi="Century Gothic" w:cs="Tahoma"/>
            <w:noProof/>
          </w:rPr>
          <w:t>Scope</w:t>
        </w:r>
        <w:r w:rsidR="00F36921">
          <w:rPr>
            <w:noProof/>
            <w:webHidden/>
          </w:rPr>
          <w:tab/>
        </w:r>
        <w:r w:rsidR="00F36921">
          <w:rPr>
            <w:noProof/>
            <w:webHidden/>
          </w:rPr>
          <w:fldChar w:fldCharType="begin"/>
        </w:r>
        <w:r w:rsidR="00F36921">
          <w:rPr>
            <w:noProof/>
            <w:webHidden/>
          </w:rPr>
          <w:instrText xml:space="preserve"> PAGEREF _Toc150796927 \h </w:instrText>
        </w:r>
        <w:r w:rsidR="00F36921">
          <w:rPr>
            <w:noProof/>
            <w:webHidden/>
          </w:rPr>
        </w:r>
        <w:r w:rsidR="00F36921">
          <w:rPr>
            <w:noProof/>
            <w:webHidden/>
          </w:rPr>
          <w:fldChar w:fldCharType="separate"/>
        </w:r>
        <w:r w:rsidR="00F36921">
          <w:rPr>
            <w:noProof/>
            <w:webHidden/>
          </w:rPr>
          <w:t>2</w:t>
        </w:r>
        <w:r w:rsidR="00F36921">
          <w:rPr>
            <w:noProof/>
            <w:webHidden/>
          </w:rPr>
          <w:fldChar w:fldCharType="end"/>
        </w:r>
      </w:hyperlink>
    </w:p>
    <w:p w:rsidR="00F36921" w:rsidRDefault="008F6520">
      <w:pPr>
        <w:pStyle w:val="TOC1"/>
        <w:rPr>
          <w:rFonts w:asciiTheme="minorHAnsi" w:eastAsiaTheme="minorEastAsia" w:hAnsiTheme="minorHAnsi" w:cstheme="minorBidi"/>
          <w:noProof/>
          <w:sz w:val="22"/>
          <w:szCs w:val="22"/>
          <w:lang w:val="en-GB" w:eastAsia="en-GB"/>
        </w:rPr>
      </w:pPr>
      <w:hyperlink w:anchor="_Toc150796928" w:history="1">
        <w:r w:rsidR="00F36921" w:rsidRPr="00ED7AE6">
          <w:rPr>
            <w:rStyle w:val="Hyperlink"/>
            <w:rFonts w:ascii="Century Gothic" w:hAnsi="Century Gothic" w:cs="Tahoma"/>
            <w:noProof/>
          </w:rPr>
          <w:t>3.</w:t>
        </w:r>
        <w:r w:rsidR="00F36921">
          <w:rPr>
            <w:rFonts w:asciiTheme="minorHAnsi" w:eastAsiaTheme="minorEastAsia" w:hAnsiTheme="minorHAnsi" w:cstheme="minorBidi"/>
            <w:noProof/>
            <w:sz w:val="22"/>
            <w:szCs w:val="22"/>
            <w:lang w:val="en-GB" w:eastAsia="en-GB"/>
          </w:rPr>
          <w:tab/>
        </w:r>
        <w:r w:rsidR="00F36921" w:rsidRPr="00ED7AE6">
          <w:rPr>
            <w:rStyle w:val="Hyperlink"/>
            <w:rFonts w:ascii="Century Gothic" w:hAnsi="Century Gothic" w:cs="Tahoma"/>
            <w:noProof/>
          </w:rPr>
          <w:t>Main Objective</w:t>
        </w:r>
        <w:r w:rsidR="00F36921">
          <w:rPr>
            <w:noProof/>
            <w:webHidden/>
          </w:rPr>
          <w:tab/>
        </w:r>
        <w:r w:rsidR="00F36921">
          <w:rPr>
            <w:noProof/>
            <w:webHidden/>
          </w:rPr>
          <w:fldChar w:fldCharType="begin"/>
        </w:r>
        <w:r w:rsidR="00F36921">
          <w:rPr>
            <w:noProof/>
            <w:webHidden/>
          </w:rPr>
          <w:instrText xml:space="preserve"> PAGEREF _Toc150796928 \h </w:instrText>
        </w:r>
        <w:r w:rsidR="00F36921">
          <w:rPr>
            <w:noProof/>
            <w:webHidden/>
          </w:rPr>
        </w:r>
        <w:r w:rsidR="00F36921">
          <w:rPr>
            <w:noProof/>
            <w:webHidden/>
          </w:rPr>
          <w:fldChar w:fldCharType="separate"/>
        </w:r>
        <w:r w:rsidR="00F36921">
          <w:rPr>
            <w:noProof/>
            <w:webHidden/>
          </w:rPr>
          <w:t>2</w:t>
        </w:r>
        <w:r w:rsidR="00F36921">
          <w:rPr>
            <w:noProof/>
            <w:webHidden/>
          </w:rPr>
          <w:fldChar w:fldCharType="end"/>
        </w:r>
      </w:hyperlink>
    </w:p>
    <w:p w:rsidR="00F36921" w:rsidRDefault="008F6520">
      <w:pPr>
        <w:pStyle w:val="TOC1"/>
        <w:rPr>
          <w:rFonts w:asciiTheme="minorHAnsi" w:eastAsiaTheme="minorEastAsia" w:hAnsiTheme="minorHAnsi" w:cstheme="minorBidi"/>
          <w:noProof/>
          <w:sz w:val="22"/>
          <w:szCs w:val="22"/>
          <w:lang w:val="en-GB" w:eastAsia="en-GB"/>
        </w:rPr>
      </w:pPr>
      <w:hyperlink w:anchor="_Toc150796929" w:history="1">
        <w:r w:rsidR="00F36921" w:rsidRPr="00ED7AE6">
          <w:rPr>
            <w:rStyle w:val="Hyperlink"/>
            <w:rFonts w:ascii="Century Gothic" w:hAnsi="Century Gothic" w:cs="Tahoma"/>
            <w:noProof/>
          </w:rPr>
          <w:t>4.</w:t>
        </w:r>
        <w:r w:rsidR="00F36921">
          <w:rPr>
            <w:rFonts w:asciiTheme="minorHAnsi" w:eastAsiaTheme="minorEastAsia" w:hAnsiTheme="minorHAnsi" w:cstheme="minorBidi"/>
            <w:noProof/>
            <w:sz w:val="22"/>
            <w:szCs w:val="22"/>
            <w:lang w:val="en-GB" w:eastAsia="en-GB"/>
          </w:rPr>
          <w:tab/>
        </w:r>
        <w:r w:rsidR="00F36921" w:rsidRPr="00ED7AE6">
          <w:rPr>
            <w:rStyle w:val="Hyperlink"/>
            <w:rFonts w:ascii="Century Gothic" w:hAnsi="Century Gothic" w:cs="Tahoma"/>
            <w:noProof/>
          </w:rPr>
          <w:t>Commitment</w:t>
        </w:r>
        <w:r w:rsidR="00F36921">
          <w:rPr>
            <w:noProof/>
            <w:webHidden/>
          </w:rPr>
          <w:tab/>
        </w:r>
        <w:r w:rsidR="00F36921">
          <w:rPr>
            <w:noProof/>
            <w:webHidden/>
          </w:rPr>
          <w:fldChar w:fldCharType="begin"/>
        </w:r>
        <w:r w:rsidR="00F36921">
          <w:rPr>
            <w:noProof/>
            <w:webHidden/>
          </w:rPr>
          <w:instrText xml:space="preserve"> PAGEREF _Toc150796929 \h </w:instrText>
        </w:r>
        <w:r w:rsidR="00F36921">
          <w:rPr>
            <w:noProof/>
            <w:webHidden/>
          </w:rPr>
        </w:r>
        <w:r w:rsidR="00F36921">
          <w:rPr>
            <w:noProof/>
            <w:webHidden/>
          </w:rPr>
          <w:fldChar w:fldCharType="separate"/>
        </w:r>
        <w:r w:rsidR="00F36921">
          <w:rPr>
            <w:noProof/>
            <w:webHidden/>
          </w:rPr>
          <w:t>2</w:t>
        </w:r>
        <w:r w:rsidR="00F36921">
          <w:rPr>
            <w:noProof/>
            <w:webHidden/>
          </w:rPr>
          <w:fldChar w:fldCharType="end"/>
        </w:r>
      </w:hyperlink>
    </w:p>
    <w:p w:rsidR="00F36921" w:rsidRDefault="008F6520">
      <w:pPr>
        <w:pStyle w:val="TOC1"/>
        <w:rPr>
          <w:rFonts w:asciiTheme="minorHAnsi" w:eastAsiaTheme="minorEastAsia" w:hAnsiTheme="minorHAnsi" w:cstheme="minorBidi"/>
          <w:noProof/>
          <w:sz w:val="22"/>
          <w:szCs w:val="22"/>
          <w:lang w:val="en-GB" w:eastAsia="en-GB"/>
        </w:rPr>
      </w:pPr>
      <w:hyperlink w:anchor="_Toc150796930" w:history="1">
        <w:r w:rsidR="00F36921" w:rsidRPr="00ED7AE6">
          <w:rPr>
            <w:rStyle w:val="Hyperlink"/>
            <w:rFonts w:ascii="Century Gothic" w:hAnsi="Century Gothic" w:cs="Tahoma"/>
            <w:noProof/>
          </w:rPr>
          <w:t>5.</w:t>
        </w:r>
        <w:r w:rsidR="00F36921">
          <w:rPr>
            <w:rFonts w:asciiTheme="minorHAnsi" w:eastAsiaTheme="minorEastAsia" w:hAnsiTheme="minorHAnsi" w:cstheme="minorBidi"/>
            <w:noProof/>
            <w:sz w:val="22"/>
            <w:szCs w:val="22"/>
            <w:lang w:val="en-GB" w:eastAsia="en-GB"/>
          </w:rPr>
          <w:tab/>
        </w:r>
        <w:r w:rsidR="00F36921" w:rsidRPr="00ED7AE6">
          <w:rPr>
            <w:rStyle w:val="Hyperlink"/>
            <w:rFonts w:ascii="Century Gothic" w:hAnsi="Century Gothic" w:cs="Tahoma"/>
            <w:noProof/>
          </w:rPr>
          <w:t>Implementation</w:t>
        </w:r>
        <w:r w:rsidR="00F36921">
          <w:rPr>
            <w:noProof/>
            <w:webHidden/>
          </w:rPr>
          <w:tab/>
        </w:r>
        <w:r w:rsidR="00F36921">
          <w:rPr>
            <w:noProof/>
            <w:webHidden/>
          </w:rPr>
          <w:fldChar w:fldCharType="begin"/>
        </w:r>
        <w:r w:rsidR="00F36921">
          <w:rPr>
            <w:noProof/>
            <w:webHidden/>
          </w:rPr>
          <w:instrText xml:space="preserve"> PAGEREF _Toc150796930 \h </w:instrText>
        </w:r>
        <w:r w:rsidR="00F36921">
          <w:rPr>
            <w:noProof/>
            <w:webHidden/>
          </w:rPr>
        </w:r>
        <w:r w:rsidR="00F36921">
          <w:rPr>
            <w:noProof/>
            <w:webHidden/>
          </w:rPr>
          <w:fldChar w:fldCharType="separate"/>
        </w:r>
        <w:r w:rsidR="00F36921">
          <w:rPr>
            <w:noProof/>
            <w:webHidden/>
          </w:rPr>
          <w:t>2</w:t>
        </w:r>
        <w:r w:rsidR="00F36921">
          <w:rPr>
            <w:noProof/>
            <w:webHidden/>
          </w:rPr>
          <w:fldChar w:fldCharType="end"/>
        </w:r>
      </w:hyperlink>
    </w:p>
    <w:p w:rsidR="00F36921" w:rsidRDefault="008F6520">
      <w:pPr>
        <w:pStyle w:val="TOC1"/>
        <w:rPr>
          <w:rFonts w:asciiTheme="minorHAnsi" w:eastAsiaTheme="minorEastAsia" w:hAnsiTheme="minorHAnsi" w:cstheme="minorBidi"/>
          <w:noProof/>
          <w:sz w:val="22"/>
          <w:szCs w:val="22"/>
          <w:lang w:val="en-GB" w:eastAsia="en-GB"/>
        </w:rPr>
      </w:pPr>
      <w:hyperlink w:anchor="_Toc150796931" w:history="1">
        <w:r w:rsidR="00F36921" w:rsidRPr="00ED7AE6">
          <w:rPr>
            <w:rStyle w:val="Hyperlink"/>
            <w:rFonts w:ascii="Century Gothic" w:hAnsi="Century Gothic"/>
            <w:noProof/>
          </w:rPr>
          <w:t>6.</w:t>
        </w:r>
        <w:r w:rsidR="00F36921">
          <w:rPr>
            <w:rFonts w:asciiTheme="minorHAnsi" w:eastAsiaTheme="minorEastAsia" w:hAnsiTheme="minorHAnsi" w:cstheme="minorBidi"/>
            <w:noProof/>
            <w:sz w:val="22"/>
            <w:szCs w:val="22"/>
            <w:lang w:val="en-GB" w:eastAsia="en-GB"/>
          </w:rPr>
          <w:tab/>
        </w:r>
        <w:r w:rsidR="00F36921" w:rsidRPr="00ED7AE6">
          <w:rPr>
            <w:rStyle w:val="Hyperlink"/>
            <w:rFonts w:ascii="Century Gothic" w:hAnsi="Century Gothic"/>
            <w:noProof/>
          </w:rPr>
          <w:t>Health and Safety Duties</w:t>
        </w:r>
        <w:r w:rsidR="00F36921">
          <w:rPr>
            <w:noProof/>
            <w:webHidden/>
          </w:rPr>
          <w:tab/>
        </w:r>
        <w:r w:rsidR="00F36921">
          <w:rPr>
            <w:noProof/>
            <w:webHidden/>
          </w:rPr>
          <w:fldChar w:fldCharType="begin"/>
        </w:r>
        <w:r w:rsidR="00F36921">
          <w:rPr>
            <w:noProof/>
            <w:webHidden/>
          </w:rPr>
          <w:instrText xml:space="preserve"> PAGEREF _Toc150796931 \h </w:instrText>
        </w:r>
        <w:r w:rsidR="00F36921">
          <w:rPr>
            <w:noProof/>
            <w:webHidden/>
          </w:rPr>
        </w:r>
        <w:r w:rsidR="00F36921">
          <w:rPr>
            <w:noProof/>
            <w:webHidden/>
          </w:rPr>
          <w:fldChar w:fldCharType="separate"/>
        </w:r>
        <w:r w:rsidR="00F36921">
          <w:rPr>
            <w:noProof/>
            <w:webHidden/>
          </w:rPr>
          <w:t>3</w:t>
        </w:r>
        <w:r w:rsidR="00F36921">
          <w:rPr>
            <w:noProof/>
            <w:webHidden/>
          </w:rPr>
          <w:fldChar w:fldCharType="end"/>
        </w:r>
      </w:hyperlink>
    </w:p>
    <w:p w:rsidR="00F36921" w:rsidRDefault="008F6520">
      <w:pPr>
        <w:pStyle w:val="TOC1"/>
        <w:rPr>
          <w:rFonts w:asciiTheme="minorHAnsi" w:eastAsiaTheme="minorEastAsia" w:hAnsiTheme="minorHAnsi" w:cstheme="minorBidi"/>
          <w:noProof/>
          <w:sz w:val="22"/>
          <w:szCs w:val="22"/>
          <w:lang w:val="en-GB" w:eastAsia="en-GB"/>
        </w:rPr>
      </w:pPr>
      <w:hyperlink w:anchor="_Toc150796932" w:history="1">
        <w:r w:rsidR="00F36921" w:rsidRPr="00ED7AE6">
          <w:rPr>
            <w:rStyle w:val="Hyperlink"/>
            <w:rFonts w:ascii="Century Gothic" w:hAnsi="Century Gothic"/>
            <w:noProof/>
          </w:rPr>
          <w:t>7.</w:t>
        </w:r>
        <w:r w:rsidR="00F36921">
          <w:rPr>
            <w:rFonts w:asciiTheme="minorHAnsi" w:eastAsiaTheme="minorEastAsia" w:hAnsiTheme="minorHAnsi" w:cstheme="minorBidi"/>
            <w:noProof/>
            <w:sz w:val="22"/>
            <w:szCs w:val="22"/>
            <w:lang w:val="en-GB" w:eastAsia="en-GB"/>
          </w:rPr>
          <w:tab/>
        </w:r>
        <w:r w:rsidR="00F36921" w:rsidRPr="00ED7AE6">
          <w:rPr>
            <w:rStyle w:val="Hyperlink"/>
            <w:rFonts w:ascii="Century Gothic" w:hAnsi="Century Gothic"/>
            <w:noProof/>
          </w:rPr>
          <w:t>Consultation</w:t>
        </w:r>
        <w:r w:rsidR="00F36921">
          <w:rPr>
            <w:noProof/>
            <w:webHidden/>
          </w:rPr>
          <w:tab/>
        </w:r>
        <w:r w:rsidR="00F36921">
          <w:rPr>
            <w:noProof/>
            <w:webHidden/>
          </w:rPr>
          <w:fldChar w:fldCharType="begin"/>
        </w:r>
        <w:r w:rsidR="00F36921">
          <w:rPr>
            <w:noProof/>
            <w:webHidden/>
          </w:rPr>
          <w:instrText xml:space="preserve"> PAGEREF _Toc150796932 \h </w:instrText>
        </w:r>
        <w:r w:rsidR="00F36921">
          <w:rPr>
            <w:noProof/>
            <w:webHidden/>
          </w:rPr>
        </w:r>
        <w:r w:rsidR="00F36921">
          <w:rPr>
            <w:noProof/>
            <w:webHidden/>
          </w:rPr>
          <w:fldChar w:fldCharType="separate"/>
        </w:r>
        <w:r w:rsidR="00F36921">
          <w:rPr>
            <w:noProof/>
            <w:webHidden/>
          </w:rPr>
          <w:t>3</w:t>
        </w:r>
        <w:r w:rsidR="00F36921">
          <w:rPr>
            <w:noProof/>
            <w:webHidden/>
          </w:rPr>
          <w:fldChar w:fldCharType="end"/>
        </w:r>
      </w:hyperlink>
    </w:p>
    <w:p w:rsidR="00F36921" w:rsidRDefault="008F6520">
      <w:pPr>
        <w:pStyle w:val="TOC1"/>
        <w:rPr>
          <w:rFonts w:asciiTheme="minorHAnsi" w:eastAsiaTheme="minorEastAsia" w:hAnsiTheme="minorHAnsi" w:cstheme="minorBidi"/>
          <w:noProof/>
          <w:sz w:val="22"/>
          <w:szCs w:val="22"/>
          <w:lang w:val="en-GB" w:eastAsia="en-GB"/>
        </w:rPr>
      </w:pPr>
      <w:hyperlink w:anchor="_Toc150796933" w:history="1">
        <w:r w:rsidR="00F36921" w:rsidRPr="00ED7AE6">
          <w:rPr>
            <w:rStyle w:val="Hyperlink"/>
            <w:rFonts w:ascii="Century Gothic" w:hAnsi="Century Gothic" w:cs="Tahoma"/>
            <w:noProof/>
          </w:rPr>
          <w:t>8.</w:t>
        </w:r>
        <w:r w:rsidR="00F36921">
          <w:rPr>
            <w:rFonts w:asciiTheme="minorHAnsi" w:eastAsiaTheme="minorEastAsia" w:hAnsiTheme="minorHAnsi" w:cstheme="minorBidi"/>
            <w:noProof/>
            <w:sz w:val="22"/>
            <w:szCs w:val="22"/>
            <w:lang w:val="en-GB" w:eastAsia="en-GB"/>
          </w:rPr>
          <w:tab/>
        </w:r>
        <w:r w:rsidR="00F36921" w:rsidRPr="00ED7AE6">
          <w:rPr>
            <w:rStyle w:val="Hyperlink"/>
            <w:rFonts w:ascii="Century Gothic" w:hAnsi="Century Gothic" w:cs="Tahoma"/>
            <w:noProof/>
          </w:rPr>
          <w:t>Health and Safety Management</w:t>
        </w:r>
        <w:r w:rsidR="00F36921">
          <w:rPr>
            <w:noProof/>
            <w:webHidden/>
          </w:rPr>
          <w:tab/>
        </w:r>
        <w:r w:rsidR="00F36921">
          <w:rPr>
            <w:noProof/>
            <w:webHidden/>
          </w:rPr>
          <w:fldChar w:fldCharType="begin"/>
        </w:r>
        <w:r w:rsidR="00F36921">
          <w:rPr>
            <w:noProof/>
            <w:webHidden/>
          </w:rPr>
          <w:instrText xml:space="preserve"> PAGEREF _Toc150796933 \h </w:instrText>
        </w:r>
        <w:r w:rsidR="00F36921">
          <w:rPr>
            <w:noProof/>
            <w:webHidden/>
          </w:rPr>
        </w:r>
        <w:r w:rsidR="00F36921">
          <w:rPr>
            <w:noProof/>
            <w:webHidden/>
          </w:rPr>
          <w:fldChar w:fldCharType="separate"/>
        </w:r>
        <w:r w:rsidR="00F36921">
          <w:rPr>
            <w:noProof/>
            <w:webHidden/>
          </w:rPr>
          <w:t>3</w:t>
        </w:r>
        <w:r w:rsidR="00F36921">
          <w:rPr>
            <w:noProof/>
            <w:webHidden/>
          </w:rPr>
          <w:fldChar w:fldCharType="end"/>
        </w:r>
      </w:hyperlink>
    </w:p>
    <w:p w:rsidR="00F36921" w:rsidRDefault="008F6520">
      <w:pPr>
        <w:pStyle w:val="TOC1"/>
        <w:rPr>
          <w:rFonts w:asciiTheme="minorHAnsi" w:eastAsiaTheme="minorEastAsia" w:hAnsiTheme="minorHAnsi" w:cstheme="minorBidi"/>
          <w:noProof/>
          <w:sz w:val="22"/>
          <w:szCs w:val="22"/>
          <w:lang w:val="en-GB" w:eastAsia="en-GB"/>
        </w:rPr>
      </w:pPr>
      <w:hyperlink w:anchor="_Toc150796934" w:history="1">
        <w:r w:rsidR="00F36921" w:rsidRPr="00ED7AE6">
          <w:rPr>
            <w:rStyle w:val="Hyperlink"/>
            <w:rFonts w:ascii="Century Gothic" w:hAnsi="Century Gothic" w:cs="Tahoma"/>
            <w:noProof/>
          </w:rPr>
          <w:t>9.</w:t>
        </w:r>
        <w:r w:rsidR="00F36921">
          <w:rPr>
            <w:rFonts w:asciiTheme="minorHAnsi" w:eastAsiaTheme="minorEastAsia" w:hAnsiTheme="minorHAnsi" w:cstheme="minorBidi"/>
            <w:noProof/>
            <w:sz w:val="22"/>
            <w:szCs w:val="22"/>
            <w:lang w:val="en-GB" w:eastAsia="en-GB"/>
          </w:rPr>
          <w:tab/>
        </w:r>
        <w:r w:rsidR="00F36921" w:rsidRPr="00ED7AE6">
          <w:rPr>
            <w:rStyle w:val="Hyperlink"/>
            <w:rFonts w:ascii="Century Gothic" w:hAnsi="Century Gothic" w:cs="Tahoma"/>
            <w:noProof/>
          </w:rPr>
          <w:t>Review</w:t>
        </w:r>
        <w:r w:rsidR="00F36921">
          <w:rPr>
            <w:noProof/>
            <w:webHidden/>
          </w:rPr>
          <w:tab/>
        </w:r>
        <w:r w:rsidR="00F36921">
          <w:rPr>
            <w:noProof/>
            <w:webHidden/>
          </w:rPr>
          <w:fldChar w:fldCharType="begin"/>
        </w:r>
        <w:r w:rsidR="00F36921">
          <w:rPr>
            <w:noProof/>
            <w:webHidden/>
          </w:rPr>
          <w:instrText xml:space="preserve"> PAGEREF _Toc150796934 \h </w:instrText>
        </w:r>
        <w:r w:rsidR="00F36921">
          <w:rPr>
            <w:noProof/>
            <w:webHidden/>
          </w:rPr>
        </w:r>
        <w:r w:rsidR="00F36921">
          <w:rPr>
            <w:noProof/>
            <w:webHidden/>
          </w:rPr>
          <w:fldChar w:fldCharType="separate"/>
        </w:r>
        <w:r w:rsidR="00F36921">
          <w:rPr>
            <w:noProof/>
            <w:webHidden/>
          </w:rPr>
          <w:t>3</w:t>
        </w:r>
        <w:r w:rsidR="00F36921">
          <w:rPr>
            <w:noProof/>
            <w:webHidden/>
          </w:rPr>
          <w:fldChar w:fldCharType="end"/>
        </w:r>
      </w:hyperlink>
    </w:p>
    <w:p w:rsidR="00F36921" w:rsidRDefault="008F6520">
      <w:pPr>
        <w:pStyle w:val="TOC1"/>
        <w:rPr>
          <w:rFonts w:asciiTheme="minorHAnsi" w:eastAsiaTheme="minorEastAsia" w:hAnsiTheme="minorHAnsi" w:cstheme="minorBidi"/>
          <w:noProof/>
          <w:sz w:val="22"/>
          <w:szCs w:val="22"/>
          <w:lang w:val="en-GB" w:eastAsia="en-GB"/>
        </w:rPr>
      </w:pPr>
      <w:hyperlink w:anchor="_Toc150796935" w:history="1">
        <w:r w:rsidR="00F36921" w:rsidRPr="00ED7AE6">
          <w:rPr>
            <w:rStyle w:val="Hyperlink"/>
            <w:rFonts w:ascii="Century Gothic" w:hAnsi="Century Gothic"/>
            <w:noProof/>
          </w:rPr>
          <w:t>10.</w:t>
        </w:r>
        <w:r w:rsidR="00F36921">
          <w:rPr>
            <w:rFonts w:asciiTheme="minorHAnsi" w:eastAsiaTheme="minorEastAsia" w:hAnsiTheme="minorHAnsi" w:cstheme="minorBidi"/>
            <w:noProof/>
            <w:sz w:val="22"/>
            <w:szCs w:val="22"/>
            <w:lang w:val="en-GB" w:eastAsia="en-GB"/>
          </w:rPr>
          <w:tab/>
        </w:r>
        <w:r w:rsidR="00F36921" w:rsidRPr="00ED7AE6">
          <w:rPr>
            <w:rStyle w:val="Hyperlink"/>
            <w:rFonts w:ascii="Century Gothic" w:hAnsi="Century Gothic"/>
            <w:noProof/>
          </w:rPr>
          <w:t>Quality Assurance</w:t>
        </w:r>
        <w:r w:rsidR="00F36921">
          <w:rPr>
            <w:noProof/>
            <w:webHidden/>
          </w:rPr>
          <w:tab/>
        </w:r>
        <w:r w:rsidR="00F36921">
          <w:rPr>
            <w:noProof/>
            <w:webHidden/>
          </w:rPr>
          <w:fldChar w:fldCharType="begin"/>
        </w:r>
        <w:r w:rsidR="00F36921">
          <w:rPr>
            <w:noProof/>
            <w:webHidden/>
          </w:rPr>
          <w:instrText xml:space="preserve"> PAGEREF _Toc150796935 \h </w:instrText>
        </w:r>
        <w:r w:rsidR="00F36921">
          <w:rPr>
            <w:noProof/>
            <w:webHidden/>
          </w:rPr>
        </w:r>
        <w:r w:rsidR="00F36921">
          <w:rPr>
            <w:noProof/>
            <w:webHidden/>
          </w:rPr>
          <w:fldChar w:fldCharType="separate"/>
        </w:r>
        <w:r w:rsidR="00F36921">
          <w:rPr>
            <w:noProof/>
            <w:webHidden/>
          </w:rPr>
          <w:t>3</w:t>
        </w:r>
        <w:r w:rsidR="00F36921">
          <w:rPr>
            <w:noProof/>
            <w:webHidden/>
          </w:rPr>
          <w:fldChar w:fldCharType="end"/>
        </w:r>
      </w:hyperlink>
    </w:p>
    <w:p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EE776"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9F2E46"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50796926"/>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0"/>
    </w:p>
    <w:p w:rsidR="00DC50B3" w:rsidRPr="00DC50B3" w:rsidRDefault="00F36921" w:rsidP="00DC50B3">
      <w:pPr>
        <w:jc w:val="both"/>
      </w:pPr>
      <w:r w:rsidRPr="00F36921">
        <w:rPr>
          <w:rFonts w:ascii="Century Gothic" w:hAnsi="Century Gothic"/>
        </w:rPr>
        <w:t xml:space="preserve">The following Is a statement of West Berkshire Training Consortium’s (WBTC) health and safety policy in accordance with Section 2 of the </w:t>
      </w:r>
      <w:r>
        <w:t xml:space="preserve">Health and Safety at Work etc. Act 1974. </w:t>
      </w:r>
    </w:p>
    <w:p w:rsidR="009F2E46" w:rsidRDefault="00F36921"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Start w:id="16" w:name="_Toc150796927"/>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Century Gothic" w:hAnsi="Century Gothic" w:cs="Tahoma"/>
          <w:color w:val="290076"/>
          <w:sz w:val="28"/>
          <w:szCs w:val="28"/>
        </w:rPr>
        <w:t>Scope</w:t>
      </w:r>
      <w:bookmarkEnd w:id="16"/>
    </w:p>
    <w:p w:rsidR="00DC50B3" w:rsidRPr="00F36921" w:rsidRDefault="00F36921" w:rsidP="00DC50B3">
      <w:pPr>
        <w:jc w:val="both"/>
        <w:rPr>
          <w:rFonts w:ascii="Century Gothic" w:hAnsi="Century Gothic"/>
        </w:rPr>
      </w:pPr>
      <w:r w:rsidRPr="00F36921">
        <w:rPr>
          <w:rFonts w:ascii="Century Gothic" w:hAnsi="Century Gothic"/>
        </w:rPr>
        <w:t xml:space="preserve">All Staff, Trustees, Contractors, Learners, Visitors. </w:t>
      </w:r>
    </w:p>
    <w:p w:rsidR="009F2E46" w:rsidRDefault="00F36921"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7" w:name="_Toc150796928"/>
      <w:r>
        <w:rPr>
          <w:rFonts w:ascii="Century Gothic" w:hAnsi="Century Gothic" w:cs="Tahoma"/>
          <w:color w:val="290076"/>
          <w:sz w:val="28"/>
          <w:szCs w:val="28"/>
        </w:rPr>
        <w:t>Main Objective</w:t>
      </w:r>
      <w:bookmarkEnd w:id="17"/>
    </w:p>
    <w:p w:rsidR="00F36921" w:rsidRPr="00F36921" w:rsidRDefault="00F36921" w:rsidP="00F36921">
      <w:pPr>
        <w:jc w:val="both"/>
        <w:rPr>
          <w:rFonts w:ascii="Century Gothic" w:hAnsi="Century Gothic"/>
        </w:rPr>
      </w:pPr>
      <w:r w:rsidRPr="00F36921">
        <w:rPr>
          <w:rFonts w:ascii="Century Gothic" w:hAnsi="Century Gothic"/>
        </w:rPr>
        <w:t xml:space="preserve">It is the policy of WBTC to ensure so far as is reasonably practicable, the health; safety and welfare of all staff working for the company and other persons who may be affected by our undertakings. </w:t>
      </w:r>
    </w:p>
    <w:p w:rsidR="00DC50B3" w:rsidRPr="00F36921" w:rsidRDefault="00F36921" w:rsidP="00DC50B3">
      <w:pPr>
        <w:jc w:val="both"/>
        <w:rPr>
          <w:rFonts w:ascii="Century Gothic" w:hAnsi="Century Gothic"/>
        </w:rPr>
      </w:pPr>
      <w:r w:rsidRPr="00F36921">
        <w:rPr>
          <w:rFonts w:ascii="Century Gothic" w:hAnsi="Century Gothic"/>
        </w:rPr>
        <w:t>We regard all health and safety legislation as the minimum standard and expect management to achieve their targets without compromising health and safety.</w:t>
      </w:r>
    </w:p>
    <w:p w:rsidR="009F2E46" w:rsidRDefault="00F36921" w:rsidP="001E1B44">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8" w:name="_Toc150796929"/>
      <w:r>
        <w:rPr>
          <w:rFonts w:ascii="Century Gothic" w:hAnsi="Century Gothic" w:cs="Tahoma"/>
          <w:color w:val="290076"/>
          <w:sz w:val="28"/>
          <w:szCs w:val="28"/>
        </w:rPr>
        <w:t>Commitment</w:t>
      </w:r>
      <w:bookmarkEnd w:id="18"/>
    </w:p>
    <w:p w:rsidR="00F36921" w:rsidRPr="00F36921" w:rsidRDefault="00F36921" w:rsidP="00F36921">
      <w:pPr>
        <w:jc w:val="both"/>
        <w:rPr>
          <w:rFonts w:ascii="Century Gothic" w:hAnsi="Century Gothic"/>
        </w:rPr>
      </w:pPr>
      <w:r w:rsidRPr="00F36921">
        <w:rPr>
          <w:rFonts w:ascii="Century Gothic" w:hAnsi="Century Gothic"/>
        </w:rPr>
        <w:t xml:space="preserve">WBTC acknowledges that the key to successful health </w:t>
      </w:r>
      <w:r w:rsidRPr="00F36921">
        <w:rPr>
          <w:rFonts w:ascii="Century Gothic" w:eastAsia="Arial" w:hAnsi="Century Gothic"/>
        </w:rPr>
        <w:t>a</w:t>
      </w:r>
      <w:r w:rsidRPr="00F36921">
        <w:rPr>
          <w:rFonts w:ascii="Century Gothic" w:hAnsi="Century Gothic"/>
        </w:rPr>
        <w:t xml:space="preserve">nd safety management requires an effective policy, organisation and arrangements, which reflect the commitment of the </w:t>
      </w:r>
      <w:r w:rsidR="00241FC7">
        <w:rPr>
          <w:rFonts w:ascii="Century Gothic" w:hAnsi="Century Gothic"/>
        </w:rPr>
        <w:t>Senior</w:t>
      </w:r>
      <w:r w:rsidRPr="00F36921">
        <w:rPr>
          <w:rFonts w:ascii="Century Gothic" w:hAnsi="Century Gothic"/>
        </w:rPr>
        <w:t xml:space="preserve"> Leadership Team (</w:t>
      </w:r>
      <w:r w:rsidR="00241FC7">
        <w:rPr>
          <w:rFonts w:ascii="Century Gothic" w:hAnsi="Century Gothic"/>
        </w:rPr>
        <w:t>S</w:t>
      </w:r>
      <w:r w:rsidRPr="00F36921">
        <w:rPr>
          <w:rFonts w:ascii="Century Gothic" w:hAnsi="Century Gothic"/>
        </w:rPr>
        <w:t>LT) and Management.</w:t>
      </w:r>
    </w:p>
    <w:p w:rsidR="00F36921" w:rsidRPr="00F36921" w:rsidRDefault="00F36921" w:rsidP="00F36921">
      <w:pPr>
        <w:jc w:val="both"/>
        <w:rPr>
          <w:rFonts w:ascii="Century Gothic" w:hAnsi="Century Gothic"/>
        </w:rPr>
      </w:pPr>
      <w:r w:rsidRPr="00F36921">
        <w:rPr>
          <w:rFonts w:ascii="Century Gothic" w:hAnsi="Century Gothic"/>
        </w:rPr>
        <w:t xml:space="preserve">To maintain that commitment, we will continually measure, monitor, improve and revise where necessary, an annual plan to ensure that health and safety standards are adequately maintained. </w:t>
      </w:r>
    </w:p>
    <w:p w:rsidR="009F2E46" w:rsidRDefault="00F36921"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9" w:name="_Toc150796930"/>
      <w:r>
        <w:rPr>
          <w:rFonts w:ascii="Century Gothic" w:hAnsi="Century Gothic" w:cs="Tahoma"/>
          <w:color w:val="290076"/>
          <w:sz w:val="28"/>
          <w:szCs w:val="28"/>
        </w:rPr>
        <w:t>Implementation</w:t>
      </w:r>
      <w:bookmarkEnd w:id="19"/>
    </w:p>
    <w:p w:rsidR="00F36921" w:rsidRPr="00F36921" w:rsidRDefault="00F36921" w:rsidP="00F36921">
      <w:pPr>
        <w:jc w:val="both"/>
        <w:rPr>
          <w:rFonts w:ascii="Century Gothic" w:hAnsi="Century Gothic"/>
        </w:rPr>
      </w:pPr>
      <w:r w:rsidRPr="00F36921">
        <w:rPr>
          <w:rFonts w:ascii="Century Gothic" w:hAnsi="Century Gothic"/>
        </w:rPr>
        <w:t xml:space="preserve">The </w:t>
      </w:r>
      <w:r w:rsidR="00241FC7">
        <w:rPr>
          <w:rFonts w:ascii="Century Gothic" w:hAnsi="Century Gothic"/>
        </w:rPr>
        <w:t xml:space="preserve">SLT </w:t>
      </w:r>
      <w:r w:rsidRPr="00F36921">
        <w:rPr>
          <w:rFonts w:ascii="Century Gothic" w:hAnsi="Century Gothic"/>
        </w:rPr>
        <w:t xml:space="preserve">will implement WBTC’s health and safety policy and recommend any changes to meet new circumstances.  WBTC recognises that successful health and safety management </w:t>
      </w:r>
      <w:r w:rsidRPr="00F36921">
        <w:rPr>
          <w:rFonts w:ascii="Century Gothic" w:hAnsi="Century Gothic"/>
        </w:rPr>
        <w:lastRenderedPageBreak/>
        <w:t xml:space="preserve">contributes to successful business performance and will allocate adequate finances and resources to meet these needs. </w:t>
      </w:r>
    </w:p>
    <w:p w:rsidR="00DC50B3" w:rsidRPr="00F36921" w:rsidRDefault="00241FC7" w:rsidP="00DC50B3">
      <w:pPr>
        <w:jc w:val="both"/>
        <w:rPr>
          <w:rFonts w:ascii="Century Gothic" w:hAnsi="Century Gothic"/>
        </w:rPr>
      </w:pPr>
      <w:r>
        <w:rPr>
          <w:rFonts w:ascii="Century Gothic" w:hAnsi="Century Gothic"/>
        </w:rPr>
        <w:t>The S</w:t>
      </w:r>
      <w:r w:rsidR="00F36921" w:rsidRPr="00F36921">
        <w:rPr>
          <w:rFonts w:ascii="Century Gothic" w:hAnsi="Century Gothic"/>
        </w:rPr>
        <w:t xml:space="preserve">LT </w:t>
      </w:r>
      <w:r>
        <w:rPr>
          <w:rFonts w:ascii="Century Gothic" w:hAnsi="Century Gothic"/>
        </w:rPr>
        <w:t>of</w:t>
      </w:r>
      <w:r w:rsidR="00F36921" w:rsidRPr="00F36921">
        <w:rPr>
          <w:rFonts w:ascii="Century Gothic" w:hAnsi="Century Gothic"/>
        </w:rPr>
        <w:t xml:space="preserve"> WBTC looks upon the promotion of health </w:t>
      </w:r>
      <w:r w:rsidR="00F36921" w:rsidRPr="00F36921">
        <w:rPr>
          <w:rFonts w:ascii="Century Gothic" w:eastAsia="Arial" w:hAnsi="Century Gothic"/>
        </w:rPr>
        <w:t>a</w:t>
      </w:r>
      <w:r w:rsidR="00F36921" w:rsidRPr="00F36921">
        <w:rPr>
          <w:rFonts w:ascii="Century Gothic" w:hAnsi="Century Gothic"/>
        </w:rPr>
        <w:t xml:space="preserve">nd safety measures as a mutual </w:t>
      </w:r>
      <w:bookmarkStart w:id="20" w:name="_GoBack"/>
      <w:bookmarkEnd w:id="20"/>
      <w:r w:rsidR="00F36921" w:rsidRPr="00F36921">
        <w:rPr>
          <w:rFonts w:ascii="Century Gothic" w:hAnsi="Century Gothic"/>
        </w:rPr>
        <w:t>objective</w:t>
      </w:r>
      <w:r>
        <w:rPr>
          <w:rFonts w:ascii="Century Gothic" w:hAnsi="Century Gothic"/>
        </w:rPr>
        <w:t xml:space="preserve"> for themselves and staff.  It i</w:t>
      </w:r>
      <w:r w:rsidR="00F36921" w:rsidRPr="00F36921">
        <w:rPr>
          <w:rFonts w:ascii="Century Gothic" w:hAnsi="Century Gothic"/>
        </w:rPr>
        <w:t xml:space="preserve">s, therefore, the policy of management to do all that is reasonably practicable to prevent personal injury and damage to property.  Also, WBTC aims to protect everyone, including learners, visitors and members of the public, insofar as they come into contact with our activities, from any foreseeable hazard or danger. Where injuries occur or where near misses or hazards are reported,  there will be an investigation into the cause, the </w:t>
      </w:r>
      <w:r>
        <w:rPr>
          <w:rFonts w:ascii="Century Gothic" w:hAnsi="Century Gothic"/>
        </w:rPr>
        <w:t>SLT</w:t>
      </w:r>
      <w:r w:rsidR="00F36921" w:rsidRPr="00F36921">
        <w:rPr>
          <w:rFonts w:ascii="Century Gothic" w:hAnsi="Century Gothic"/>
        </w:rPr>
        <w:t xml:space="preserve"> will review the findings and implement the appropriate measures to prevent or mitigate future accidents, hazards or ill health.</w:t>
      </w:r>
    </w:p>
    <w:p w:rsidR="009F2E46" w:rsidRDefault="00F36921" w:rsidP="00684286">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1" w:name="_Toc150796931"/>
      <w:r>
        <w:rPr>
          <w:rFonts w:ascii="Century Gothic" w:hAnsi="Century Gothic"/>
          <w:color w:val="290076"/>
          <w:sz w:val="28"/>
          <w:szCs w:val="28"/>
        </w:rPr>
        <w:t>Health and Safety Duties</w:t>
      </w:r>
      <w:bookmarkEnd w:id="21"/>
    </w:p>
    <w:p w:rsidR="00F36921" w:rsidRPr="00F36921" w:rsidRDefault="00F36921" w:rsidP="00F36921">
      <w:pPr>
        <w:jc w:val="both"/>
        <w:rPr>
          <w:rFonts w:ascii="Century Gothic" w:hAnsi="Century Gothic"/>
        </w:rPr>
      </w:pPr>
      <w:r w:rsidRPr="00F36921">
        <w:rPr>
          <w:rFonts w:ascii="Century Gothic" w:hAnsi="Century Gothic"/>
        </w:rPr>
        <w:t xml:space="preserve">All staff have duties under the Health and Safety at Work etc. Act 1974 and are informed of their personal responsibilities to take due care of the health and safety of themselves and to ensure that they do not endanger other persons by their acts or omissions.  </w:t>
      </w:r>
    </w:p>
    <w:p w:rsidR="00DC50B3" w:rsidRPr="00F36921" w:rsidRDefault="00F36921" w:rsidP="00DC50B3">
      <w:pPr>
        <w:jc w:val="both"/>
        <w:rPr>
          <w:rFonts w:ascii="Century Gothic" w:hAnsi="Century Gothic"/>
        </w:rPr>
      </w:pPr>
      <w:r w:rsidRPr="00F36921">
        <w:rPr>
          <w:rFonts w:ascii="Century Gothic" w:hAnsi="Century Gothic"/>
        </w:rPr>
        <w:t xml:space="preserve">Staff are also informed that they must cooperate with the organisation in order that it can comply with the legal requirements placed upon it and in the implementation of this policy and must report to management any accidents near misses or hazards encountered.  </w:t>
      </w:r>
    </w:p>
    <w:p w:rsidR="001E1B44" w:rsidRDefault="00F36921" w:rsidP="001E1B44">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2" w:name="_Toc150796932"/>
      <w:r>
        <w:rPr>
          <w:rFonts w:ascii="Century Gothic" w:hAnsi="Century Gothic"/>
          <w:color w:val="290076"/>
          <w:sz w:val="28"/>
          <w:szCs w:val="28"/>
        </w:rPr>
        <w:t>Consultation</w:t>
      </w:r>
      <w:bookmarkEnd w:id="22"/>
    </w:p>
    <w:p w:rsidR="00DC50B3" w:rsidRPr="00F36921" w:rsidRDefault="00F36921" w:rsidP="00DC50B3">
      <w:pPr>
        <w:jc w:val="both"/>
        <w:rPr>
          <w:rFonts w:ascii="Century Gothic" w:hAnsi="Century Gothic"/>
        </w:rPr>
      </w:pPr>
      <w:r w:rsidRPr="00F36921">
        <w:rPr>
          <w:rFonts w:ascii="Century Gothic" w:hAnsi="Century Gothic"/>
        </w:rPr>
        <w:t xml:space="preserve">WBTC will ensure consultation with staff on matters of health and safety when appropriate to enable all viewpoints and recommendations are discussed. </w:t>
      </w:r>
    </w:p>
    <w:p w:rsidR="00DC50B3" w:rsidRDefault="00F36921" w:rsidP="00DC50B3">
      <w:pPr>
        <w:pStyle w:val="Heading1"/>
        <w:keepNext w:val="0"/>
        <w:keepLines w:val="0"/>
        <w:numPr>
          <w:ilvl w:val="0"/>
          <w:numId w:val="13"/>
        </w:numPr>
        <w:shd w:val="clear" w:color="auto" w:fill="FFFFFF" w:themeFill="background1"/>
        <w:spacing w:before="0" w:after="160"/>
        <w:contextualSpacing/>
        <w:jc w:val="both"/>
        <w:rPr>
          <w:rFonts w:ascii="Century Gothic" w:hAnsi="Century Gothic" w:cs="Tahoma"/>
          <w:color w:val="290076"/>
          <w:sz w:val="28"/>
          <w:szCs w:val="28"/>
        </w:rPr>
      </w:pPr>
      <w:bookmarkStart w:id="23" w:name="_Toc150796933"/>
      <w:r>
        <w:rPr>
          <w:rFonts w:ascii="Century Gothic" w:hAnsi="Century Gothic" w:cs="Tahoma"/>
          <w:color w:val="290076"/>
          <w:sz w:val="28"/>
          <w:szCs w:val="28"/>
        </w:rPr>
        <w:t>Health and Safety Management</w:t>
      </w:r>
      <w:bookmarkEnd w:id="23"/>
    </w:p>
    <w:p w:rsidR="00F36921" w:rsidRPr="00F36921" w:rsidRDefault="00F36921" w:rsidP="00F36921">
      <w:pPr>
        <w:jc w:val="both"/>
        <w:rPr>
          <w:rFonts w:ascii="Century Gothic" w:hAnsi="Century Gothic"/>
        </w:rPr>
      </w:pPr>
      <w:r w:rsidRPr="00F36921">
        <w:rPr>
          <w:rFonts w:ascii="Century Gothic" w:hAnsi="Century Gothic"/>
        </w:rPr>
        <w:t xml:space="preserve">The organisation will ensure a systematic approach to identifying hazards, assessing the risks, determining suitable and sufficient control measures and informing staff of the correct procedures needed to maintain a safe working environment.  We provide, so far as is reasonably practicable, safe places and systems of work, safe plant and machinery, safe handling of materials and substances, the provision of adequate safety equipment and ensure that appropriate information, instruction, training and supervision is given. </w:t>
      </w:r>
    </w:p>
    <w:p w:rsidR="00DC50B3" w:rsidRPr="00F36921" w:rsidRDefault="00F36921" w:rsidP="00DC50B3">
      <w:pPr>
        <w:pStyle w:val="Heading1"/>
        <w:keepNext w:val="0"/>
        <w:keepLines w:val="0"/>
        <w:numPr>
          <w:ilvl w:val="0"/>
          <w:numId w:val="13"/>
        </w:numPr>
        <w:shd w:val="clear" w:color="auto" w:fill="FFFFFF" w:themeFill="background1"/>
        <w:spacing w:before="0" w:after="160"/>
        <w:contextualSpacing/>
        <w:jc w:val="both"/>
        <w:rPr>
          <w:rFonts w:ascii="Century Gothic" w:hAnsi="Century Gothic" w:cs="Tahoma"/>
          <w:color w:val="290076"/>
          <w:sz w:val="28"/>
          <w:szCs w:val="28"/>
        </w:rPr>
      </w:pPr>
      <w:bookmarkStart w:id="24" w:name="_Toc150796934"/>
      <w:r>
        <w:rPr>
          <w:rFonts w:ascii="Century Gothic" w:hAnsi="Century Gothic" w:cs="Tahoma"/>
          <w:color w:val="290076"/>
          <w:sz w:val="28"/>
          <w:szCs w:val="28"/>
        </w:rPr>
        <w:t>Review</w:t>
      </w:r>
      <w:bookmarkEnd w:id="24"/>
    </w:p>
    <w:p w:rsidR="00F36921" w:rsidRPr="00F36921" w:rsidRDefault="00F36921" w:rsidP="00F36921">
      <w:pPr>
        <w:jc w:val="both"/>
        <w:rPr>
          <w:rFonts w:ascii="Century Gothic" w:hAnsi="Century Gothic"/>
        </w:rPr>
      </w:pPr>
      <w:r w:rsidRPr="00F36921">
        <w:rPr>
          <w:rFonts w:ascii="Century Gothic" w:hAnsi="Century Gothic"/>
        </w:rPr>
        <w:t xml:space="preserve">Notwithstanding our current policies and procedures, the </w:t>
      </w:r>
      <w:r w:rsidR="00241FC7">
        <w:rPr>
          <w:rFonts w:ascii="Century Gothic" w:hAnsi="Century Gothic"/>
        </w:rPr>
        <w:t>S</w:t>
      </w:r>
      <w:r w:rsidRPr="00F36921">
        <w:rPr>
          <w:rFonts w:ascii="Century Gothic" w:hAnsi="Century Gothic"/>
        </w:rPr>
        <w:t>LT reserve the right to amend this policy at any time and without notice.</w:t>
      </w:r>
    </w:p>
    <w:p w:rsidR="00DC50B3" w:rsidRPr="00F36921" w:rsidRDefault="00F36921" w:rsidP="00DC50B3">
      <w:pPr>
        <w:jc w:val="both"/>
        <w:rPr>
          <w:rFonts w:ascii="Century Gothic" w:hAnsi="Century Gothic"/>
        </w:rPr>
      </w:pPr>
      <w:r w:rsidRPr="00F36921">
        <w:rPr>
          <w:rFonts w:ascii="Century Gothic" w:hAnsi="Century Gothic"/>
        </w:rPr>
        <w:t>WBTC will ensure Staff are made aware of any amendments to this Policy Statement.</w:t>
      </w:r>
    </w:p>
    <w:p w:rsidR="00DC50B3" w:rsidRDefault="00F36921" w:rsidP="00DC50B3">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5" w:name="_Toc150796935"/>
      <w:r>
        <w:rPr>
          <w:rFonts w:ascii="Century Gothic" w:hAnsi="Century Gothic"/>
          <w:color w:val="290076"/>
          <w:sz w:val="28"/>
          <w:szCs w:val="28"/>
        </w:rPr>
        <w:t>Quality Assurance</w:t>
      </w:r>
      <w:bookmarkEnd w:id="25"/>
    </w:p>
    <w:p w:rsidR="00F36921" w:rsidRPr="00F36921" w:rsidRDefault="00F36921" w:rsidP="00F36921">
      <w:pPr>
        <w:jc w:val="both"/>
        <w:rPr>
          <w:rFonts w:ascii="Century Gothic" w:hAnsi="Century Gothic"/>
        </w:rPr>
      </w:pPr>
      <w:r w:rsidRPr="00F36921">
        <w:rPr>
          <w:rFonts w:ascii="Century Gothic" w:hAnsi="Century Gothic"/>
        </w:rPr>
        <w:t xml:space="preserve">The Policy will be reviewed every year, sooner if legislation, best practice or other circumstances indicate this is necessary. It shall remain force until any alterations are formally agreed.   </w:t>
      </w:r>
    </w:p>
    <w:p w:rsidR="00F36921" w:rsidRPr="00F36921" w:rsidRDefault="00F36921" w:rsidP="00F36921">
      <w:pPr>
        <w:jc w:val="both"/>
        <w:rPr>
          <w:rFonts w:ascii="Century Gothic" w:hAnsi="Century Gothic"/>
        </w:rPr>
      </w:pPr>
      <w:r w:rsidRPr="00F36921">
        <w:rPr>
          <w:rFonts w:ascii="Century Gothic" w:hAnsi="Century Gothic"/>
        </w:rPr>
        <w:t xml:space="preserve"> </w:t>
      </w:r>
    </w:p>
    <w:p w:rsidR="00DC50B3" w:rsidRPr="00DC50B3" w:rsidRDefault="00DC50B3" w:rsidP="00DC50B3">
      <w:pPr>
        <w:jc w:val="both"/>
      </w:pPr>
    </w:p>
    <w:p w:rsidR="009F2E46" w:rsidRPr="00F36921" w:rsidRDefault="009F2E46" w:rsidP="00F36921">
      <w:pPr>
        <w:rPr>
          <w:rFonts w:ascii="Century Gothic" w:hAnsi="Century Gothic" w:cs="Tahoma"/>
          <w:sz w:val="18"/>
          <w:szCs w:val="18"/>
        </w:rPr>
      </w:pPr>
    </w:p>
    <w:sectPr w:rsidR="009F2E46" w:rsidRPr="00F36921" w:rsidSect="008F6520">
      <w:headerReference w:type="default" r:id="rId8"/>
      <w:footerReference w:type="default" r:id="rId9"/>
      <w:pgSz w:w="11906" w:h="16838"/>
      <w:pgMar w:top="1985"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012" w:rsidRDefault="00BD5012" w:rsidP="009F2E46">
      <w:pPr>
        <w:spacing w:after="0" w:line="240" w:lineRule="auto"/>
      </w:pPr>
      <w:r>
        <w:separator/>
      </w:r>
    </w:p>
  </w:endnote>
  <w:endnote w:type="continuationSeparator" w:id="0">
    <w:p w:rsidR="00BD5012" w:rsidRDefault="00BD5012"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866163"/>
      <w:docPartObj>
        <w:docPartGallery w:val="Page Numbers (Bottom of Page)"/>
        <w:docPartUnique/>
      </w:docPartObj>
    </w:sdtPr>
    <w:sdtEndPr>
      <w:rPr>
        <w:color w:val="7F7F7F" w:themeColor="background1" w:themeShade="7F"/>
        <w:spacing w:val="60"/>
      </w:rPr>
    </w:sdtEndPr>
    <w:sdtContent>
      <w:p w:rsidR="00BD5012" w:rsidRPr="008F6520" w:rsidRDefault="00BD5012" w:rsidP="00514072">
        <w:pPr>
          <w:pStyle w:val="Footer"/>
          <w:pBdr>
            <w:top w:val="single" w:sz="4" w:space="0" w:color="D9D9D9" w:themeColor="background1" w:themeShade="D9"/>
          </w:pBdr>
          <w:rPr>
            <w:rStyle w:val="1bodycopy10ptChar"/>
            <w:rFonts w:ascii="Century Gothic" w:hAnsi="Century Gothic"/>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A07591" w:rsidRPr="00A07591">
          <w:rPr>
            <w:rFonts w:ascii="Century Gothic" w:hAnsi="Century Gothic"/>
            <w:b/>
            <w:bCs/>
            <w:noProof/>
            <w:sz w:val="18"/>
            <w:szCs w:val="18"/>
          </w:rPr>
          <w:t>3</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8F6520">
          <w:rPr>
            <w:rFonts w:ascii="Century Gothic" w:hAnsi="Century Gothic"/>
            <w:color w:val="7F7F7F" w:themeColor="background1" w:themeShade="7F"/>
            <w:spacing w:val="60"/>
            <w:sz w:val="18"/>
            <w:szCs w:val="18"/>
          </w:rPr>
          <w:tab/>
        </w:r>
        <w:r w:rsidR="008F6520">
          <w:rPr>
            <w:rFonts w:ascii="Century Gothic" w:hAnsi="Century Gothic"/>
            <w:color w:val="7F7F7F" w:themeColor="background1" w:themeShade="7F"/>
            <w:spacing w:val="60"/>
            <w:sz w:val="18"/>
            <w:szCs w:val="18"/>
          </w:rPr>
          <w:tab/>
        </w:r>
        <w:r w:rsidR="008F6520" w:rsidRPr="008F6520">
          <w:rPr>
            <w:rStyle w:val="1bodycopy10ptChar"/>
            <w:rFonts w:ascii="Century Gothic" w:hAnsi="Century Gothic"/>
            <w:sz w:val="18"/>
            <w:szCs w:val="18"/>
          </w:rPr>
          <w:t>P16/01/Nov23</w:t>
        </w:r>
      </w:p>
      <w:p w:rsidR="00BD5012" w:rsidRDefault="00BD5012"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rsidR="00BD5012" w:rsidRDefault="00BD5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012" w:rsidRDefault="00BD5012" w:rsidP="009F2E46">
      <w:pPr>
        <w:spacing w:after="0" w:line="240" w:lineRule="auto"/>
      </w:pPr>
      <w:r>
        <w:separator/>
      </w:r>
    </w:p>
  </w:footnote>
  <w:footnote w:type="continuationSeparator" w:id="0">
    <w:p w:rsidR="00BD5012" w:rsidRDefault="00BD5012"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012" w:rsidRDefault="000963F7" w:rsidP="000963F7">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4663440</wp:posOffset>
          </wp:positionH>
          <wp:positionV relativeFrom="paragraph">
            <wp:posOffset>0</wp:posOffset>
          </wp:positionV>
          <wp:extent cx="1518036" cy="755970"/>
          <wp:effectExtent l="0" t="0" r="6350" b="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6303DBC"/>
    <w:multiLevelType w:val="hybridMultilevel"/>
    <w:tmpl w:val="2C066F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num>
  <w:num w:numId="3">
    <w:abstractNumId w:val="20"/>
  </w:num>
  <w:num w:numId="4">
    <w:abstractNumId w:val="18"/>
  </w:num>
  <w:num w:numId="5">
    <w:abstractNumId w:val="2"/>
  </w:num>
  <w:num w:numId="6">
    <w:abstractNumId w:val="10"/>
    <w:lvlOverride w:ilvl="0">
      <w:startOverride w:val="1"/>
    </w:lvlOverride>
  </w:num>
  <w:num w:numId="7">
    <w:abstractNumId w:val="10"/>
    <w:lvlOverride w:ilvl="0">
      <w:startOverride w:val="1"/>
    </w:lvlOverride>
  </w:num>
  <w:num w:numId="8">
    <w:abstractNumId w:val="14"/>
  </w:num>
  <w:num w:numId="9">
    <w:abstractNumId w:val="4"/>
  </w:num>
  <w:num w:numId="10">
    <w:abstractNumId w:val="5"/>
  </w:num>
  <w:num w:numId="11">
    <w:abstractNumId w:val="16"/>
  </w:num>
  <w:num w:numId="12">
    <w:abstractNumId w:val="22"/>
  </w:num>
  <w:num w:numId="13">
    <w:abstractNumId w:val="1"/>
  </w:num>
  <w:num w:numId="14">
    <w:abstractNumId w:val="17"/>
  </w:num>
  <w:num w:numId="15">
    <w:abstractNumId w:val="25"/>
  </w:num>
  <w:num w:numId="16">
    <w:abstractNumId w:val="19"/>
  </w:num>
  <w:num w:numId="17">
    <w:abstractNumId w:val="6"/>
  </w:num>
  <w:num w:numId="18">
    <w:abstractNumId w:val="9"/>
  </w:num>
  <w:num w:numId="19">
    <w:abstractNumId w:val="12"/>
  </w:num>
  <w:num w:numId="20">
    <w:abstractNumId w:val="23"/>
  </w:num>
  <w:num w:numId="21">
    <w:abstractNumId w:val="3"/>
  </w:num>
  <w:num w:numId="22">
    <w:abstractNumId w:val="11"/>
  </w:num>
  <w:num w:numId="23">
    <w:abstractNumId w:val="13"/>
  </w:num>
  <w:num w:numId="24">
    <w:abstractNumId w:val="21"/>
  </w:num>
  <w:num w:numId="25">
    <w:abstractNumId w:val="24"/>
  </w:num>
  <w:num w:numId="26">
    <w:abstractNumId w:val="15"/>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963F7"/>
    <w:rsid w:val="000A6B00"/>
    <w:rsid w:val="001E1B44"/>
    <w:rsid w:val="00241FC7"/>
    <w:rsid w:val="00381BA8"/>
    <w:rsid w:val="003A1200"/>
    <w:rsid w:val="00415995"/>
    <w:rsid w:val="00461F6F"/>
    <w:rsid w:val="004E55AE"/>
    <w:rsid w:val="00514072"/>
    <w:rsid w:val="00522C3D"/>
    <w:rsid w:val="00684286"/>
    <w:rsid w:val="007A7517"/>
    <w:rsid w:val="008577AC"/>
    <w:rsid w:val="00897D79"/>
    <w:rsid w:val="008B6CBB"/>
    <w:rsid w:val="008F6520"/>
    <w:rsid w:val="009342DA"/>
    <w:rsid w:val="009F2E46"/>
    <w:rsid w:val="00A072DD"/>
    <w:rsid w:val="00A07591"/>
    <w:rsid w:val="00A95084"/>
    <w:rsid w:val="00B06A19"/>
    <w:rsid w:val="00B14B96"/>
    <w:rsid w:val="00BB6B02"/>
    <w:rsid w:val="00BD5012"/>
    <w:rsid w:val="00C37493"/>
    <w:rsid w:val="00C802EC"/>
    <w:rsid w:val="00CC545B"/>
    <w:rsid w:val="00D57DF0"/>
    <w:rsid w:val="00DB7CB6"/>
    <w:rsid w:val="00DC50B3"/>
    <w:rsid w:val="00EC1254"/>
    <w:rsid w:val="00EE2859"/>
    <w:rsid w:val="00F36921"/>
    <w:rsid w:val="00FA2AE4"/>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591A48DE"/>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45607">
      <w:bodyDiv w:val="1"/>
      <w:marLeft w:val="0"/>
      <w:marRight w:val="0"/>
      <w:marTop w:val="0"/>
      <w:marBottom w:val="0"/>
      <w:divBdr>
        <w:top w:val="none" w:sz="0" w:space="0" w:color="auto"/>
        <w:left w:val="none" w:sz="0" w:space="0" w:color="auto"/>
        <w:bottom w:val="none" w:sz="0" w:space="0" w:color="auto"/>
        <w:right w:val="none" w:sz="0" w:space="0" w:color="auto"/>
      </w:divBdr>
    </w:div>
    <w:div w:id="422801570">
      <w:bodyDiv w:val="1"/>
      <w:marLeft w:val="0"/>
      <w:marRight w:val="0"/>
      <w:marTop w:val="0"/>
      <w:marBottom w:val="0"/>
      <w:divBdr>
        <w:top w:val="none" w:sz="0" w:space="0" w:color="auto"/>
        <w:left w:val="none" w:sz="0" w:space="0" w:color="auto"/>
        <w:bottom w:val="none" w:sz="0" w:space="0" w:color="auto"/>
        <w:right w:val="none" w:sz="0" w:space="0" w:color="auto"/>
      </w:divBdr>
    </w:div>
    <w:div w:id="545800737">
      <w:bodyDiv w:val="1"/>
      <w:marLeft w:val="0"/>
      <w:marRight w:val="0"/>
      <w:marTop w:val="0"/>
      <w:marBottom w:val="0"/>
      <w:divBdr>
        <w:top w:val="none" w:sz="0" w:space="0" w:color="auto"/>
        <w:left w:val="none" w:sz="0" w:space="0" w:color="auto"/>
        <w:bottom w:val="none" w:sz="0" w:space="0" w:color="auto"/>
        <w:right w:val="none" w:sz="0" w:space="0" w:color="auto"/>
      </w:divBdr>
    </w:div>
    <w:div w:id="650527104">
      <w:bodyDiv w:val="1"/>
      <w:marLeft w:val="0"/>
      <w:marRight w:val="0"/>
      <w:marTop w:val="0"/>
      <w:marBottom w:val="0"/>
      <w:divBdr>
        <w:top w:val="none" w:sz="0" w:space="0" w:color="auto"/>
        <w:left w:val="none" w:sz="0" w:space="0" w:color="auto"/>
        <w:bottom w:val="none" w:sz="0" w:space="0" w:color="auto"/>
        <w:right w:val="none" w:sz="0" w:space="0" w:color="auto"/>
      </w:divBdr>
    </w:div>
    <w:div w:id="903298821">
      <w:bodyDiv w:val="1"/>
      <w:marLeft w:val="0"/>
      <w:marRight w:val="0"/>
      <w:marTop w:val="0"/>
      <w:marBottom w:val="0"/>
      <w:divBdr>
        <w:top w:val="none" w:sz="0" w:space="0" w:color="auto"/>
        <w:left w:val="none" w:sz="0" w:space="0" w:color="auto"/>
        <w:bottom w:val="none" w:sz="0" w:space="0" w:color="auto"/>
        <w:right w:val="none" w:sz="0" w:space="0" w:color="auto"/>
      </w:divBdr>
    </w:div>
    <w:div w:id="1063795157">
      <w:bodyDiv w:val="1"/>
      <w:marLeft w:val="0"/>
      <w:marRight w:val="0"/>
      <w:marTop w:val="0"/>
      <w:marBottom w:val="0"/>
      <w:divBdr>
        <w:top w:val="none" w:sz="0" w:space="0" w:color="auto"/>
        <w:left w:val="none" w:sz="0" w:space="0" w:color="auto"/>
        <w:bottom w:val="none" w:sz="0" w:space="0" w:color="auto"/>
        <w:right w:val="none" w:sz="0" w:space="0" w:color="auto"/>
      </w:divBdr>
    </w:div>
    <w:div w:id="1286037395">
      <w:bodyDiv w:val="1"/>
      <w:marLeft w:val="0"/>
      <w:marRight w:val="0"/>
      <w:marTop w:val="0"/>
      <w:marBottom w:val="0"/>
      <w:divBdr>
        <w:top w:val="none" w:sz="0" w:space="0" w:color="auto"/>
        <w:left w:val="none" w:sz="0" w:space="0" w:color="auto"/>
        <w:bottom w:val="none" w:sz="0" w:space="0" w:color="auto"/>
        <w:right w:val="none" w:sz="0" w:space="0" w:color="auto"/>
      </w:divBdr>
    </w:div>
    <w:div w:id="14802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0F19169EC22049BD2FB7FF9D692AD7" ma:contentTypeVersion="4" ma:contentTypeDescription="Create a new document." ma:contentTypeScope="" ma:versionID="d8ad949bc20e730cf502be0c2b261bd5">
  <xsd:schema xmlns:xsd="http://www.w3.org/2001/XMLSchema" xmlns:xs="http://www.w3.org/2001/XMLSchema" xmlns:p="http://schemas.microsoft.com/office/2006/metadata/properties" xmlns:ns2="dfce0e22-7519-4b1f-a374-0c70beed23e5" targetNamespace="http://schemas.microsoft.com/office/2006/metadata/properties" ma:root="true" ma:fieldsID="4c1660a6e60d0a215b040eda18db15bd" ns2:_="">
    <xsd:import namespace="dfce0e22-7519-4b1f-a374-0c70beed2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e22-7519-4b1f-a374-0c70beed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E03D10-F596-495B-981D-ABA2E9CF9867}">
  <ds:schemaRefs>
    <ds:schemaRef ds:uri="http://schemas.openxmlformats.org/officeDocument/2006/bibliography"/>
  </ds:schemaRefs>
</ds:datastoreItem>
</file>

<file path=customXml/itemProps2.xml><?xml version="1.0" encoding="utf-8"?>
<ds:datastoreItem xmlns:ds="http://schemas.openxmlformats.org/officeDocument/2006/customXml" ds:itemID="{E343273D-D706-41C3-9490-CBB6B200C4D3}"/>
</file>

<file path=customXml/itemProps3.xml><?xml version="1.0" encoding="utf-8"?>
<ds:datastoreItem xmlns:ds="http://schemas.openxmlformats.org/officeDocument/2006/customXml" ds:itemID="{FFDF47A2-AC12-45EC-9D97-6F9FBC6427AD}"/>
</file>

<file path=customXml/itemProps4.xml><?xml version="1.0" encoding="utf-8"?>
<ds:datastoreItem xmlns:ds="http://schemas.openxmlformats.org/officeDocument/2006/customXml" ds:itemID="{FB4ED660-1365-486F-879A-62A0F5EFBA33}"/>
</file>

<file path=docProps/app.xml><?xml version="1.0" encoding="utf-8"?>
<Properties xmlns="http://schemas.openxmlformats.org/officeDocument/2006/extended-properties" xmlns:vt="http://schemas.openxmlformats.org/officeDocument/2006/docPropsVTypes">
  <Template>Normal</Template>
  <TotalTime>7</TotalTime>
  <Pages>4</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8</cp:revision>
  <dcterms:created xsi:type="dcterms:W3CDTF">2023-11-13T19:44:00Z</dcterms:created>
  <dcterms:modified xsi:type="dcterms:W3CDTF">2024-03-13T18:22:00Z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0x0101005A0F19169EC22049BD2FB7FF9D692AD7</vt:lpwstr>
  </property>
</Properties>
</file>