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1A96" w14:textId="77777777" w:rsidR="009F2E46" w:rsidRPr="001E1B44" w:rsidRDefault="009F2E46" w:rsidP="00684286">
      <w:pPr>
        <w:pStyle w:val="Title"/>
        <w:rPr>
          <w:rFonts w:ascii="Century Gothic" w:hAnsi="Century Gothic"/>
          <w:lang w:val="en-US"/>
        </w:rPr>
      </w:pPr>
    </w:p>
    <w:p w14:paraId="6F96B95E" w14:textId="77777777" w:rsidR="009F2E46" w:rsidRPr="001E1B44" w:rsidRDefault="009F2E46" w:rsidP="00684286">
      <w:pPr>
        <w:pStyle w:val="Title"/>
        <w:rPr>
          <w:rFonts w:ascii="Century Gothic" w:hAnsi="Century Gothic"/>
          <w:lang w:val="en-US"/>
        </w:rPr>
      </w:pPr>
    </w:p>
    <w:p w14:paraId="045232EE" w14:textId="48E65E00" w:rsidR="008B6CBB" w:rsidRDefault="00625B53" w:rsidP="001E1B44">
      <w:pPr>
        <w:pStyle w:val="Title"/>
        <w:rPr>
          <w:rFonts w:ascii="Century Gothic" w:hAnsi="Century Gothic"/>
          <w:b/>
          <w:lang w:val="en-US"/>
        </w:rPr>
      </w:pPr>
      <w:r>
        <w:rPr>
          <w:rFonts w:ascii="Century Gothic" w:hAnsi="Century Gothic"/>
          <w:b/>
          <w:lang w:val="en-US"/>
        </w:rPr>
        <w:t>Supply Chain Fees and Charges Policy 202</w:t>
      </w:r>
      <w:r w:rsidR="00894F5E">
        <w:rPr>
          <w:rFonts w:ascii="Century Gothic" w:hAnsi="Century Gothic"/>
          <w:b/>
          <w:lang w:val="en-US"/>
        </w:rPr>
        <w:t>5</w:t>
      </w:r>
      <w:r>
        <w:rPr>
          <w:rFonts w:ascii="Century Gothic" w:hAnsi="Century Gothic"/>
          <w:b/>
          <w:lang w:val="en-US"/>
        </w:rPr>
        <w:t>-2</w:t>
      </w:r>
      <w:r w:rsidR="00894F5E">
        <w:rPr>
          <w:rFonts w:ascii="Century Gothic" w:hAnsi="Century Gothic"/>
          <w:b/>
          <w:lang w:val="en-US"/>
        </w:rPr>
        <w:t>6</w:t>
      </w:r>
    </w:p>
    <w:p w14:paraId="6078779A" w14:textId="77777777" w:rsidR="00625B53" w:rsidRPr="00625B53" w:rsidRDefault="00625B53" w:rsidP="00625B53">
      <w:pPr>
        <w:rPr>
          <w:lang w:val="en-US"/>
        </w:rPr>
      </w:pPr>
    </w:p>
    <w:p w14:paraId="0891300E" w14:textId="77777777" w:rsidR="00514072" w:rsidRPr="001E1B44" w:rsidRDefault="00514072" w:rsidP="00684286">
      <w:pPr>
        <w:rPr>
          <w:rFonts w:ascii="Century Gothic" w:hAnsi="Century Gothic"/>
          <w:lang w:val="en-US"/>
        </w:rPr>
      </w:pPr>
    </w:p>
    <w:p w14:paraId="44ED4C26" w14:textId="77777777" w:rsidR="00514072" w:rsidRPr="001E1B44" w:rsidRDefault="00514072" w:rsidP="00684286">
      <w:pPr>
        <w:rPr>
          <w:rFonts w:ascii="Century Gothic" w:hAnsi="Century Gothic"/>
          <w:lang w:val="en-US"/>
        </w:rPr>
      </w:pPr>
    </w:p>
    <w:p w14:paraId="5E8F1715" w14:textId="77777777" w:rsidR="00514072" w:rsidRPr="001E1B44" w:rsidRDefault="00514072" w:rsidP="00684286">
      <w:pPr>
        <w:rPr>
          <w:rFonts w:ascii="Century Gothic" w:hAnsi="Century Gothic"/>
          <w:lang w:val="en-US"/>
        </w:rPr>
      </w:pPr>
    </w:p>
    <w:p w14:paraId="32757332" w14:textId="77777777" w:rsidR="00514072" w:rsidRPr="001E1B44" w:rsidRDefault="00514072" w:rsidP="00684286">
      <w:pPr>
        <w:rPr>
          <w:rFonts w:ascii="Century Gothic" w:hAnsi="Century Gothic"/>
          <w:lang w:val="en-US"/>
        </w:rPr>
      </w:pPr>
    </w:p>
    <w:p w14:paraId="5ED11496" w14:textId="77777777" w:rsidR="00514072" w:rsidRPr="001E1B44" w:rsidRDefault="00514072" w:rsidP="00684286">
      <w:pPr>
        <w:rPr>
          <w:rFonts w:ascii="Century Gothic" w:hAnsi="Century Gothic"/>
          <w:lang w:val="en-US"/>
        </w:rPr>
      </w:pPr>
    </w:p>
    <w:p w14:paraId="160FAD04" w14:textId="77777777" w:rsidR="00514072" w:rsidRPr="001E1B44" w:rsidRDefault="00514072" w:rsidP="00684286">
      <w:pPr>
        <w:rPr>
          <w:rFonts w:ascii="Century Gothic" w:hAnsi="Century Gothic"/>
          <w:lang w:val="en-US"/>
        </w:rPr>
      </w:pPr>
    </w:p>
    <w:p w14:paraId="726D22DB" w14:textId="77777777" w:rsidR="00514072" w:rsidRPr="001E1B44" w:rsidRDefault="00514072" w:rsidP="00684286">
      <w:pPr>
        <w:rPr>
          <w:rFonts w:ascii="Century Gothic" w:hAnsi="Century Gothic"/>
          <w:lang w:val="en-US"/>
        </w:rPr>
      </w:pPr>
    </w:p>
    <w:p w14:paraId="5FDF126F" w14:textId="77777777" w:rsidR="004E55AE" w:rsidRPr="001E1B44" w:rsidRDefault="004E55AE" w:rsidP="00684286">
      <w:pPr>
        <w:rPr>
          <w:rFonts w:ascii="Century Gothic" w:hAnsi="Century Gothic"/>
          <w:lang w:val="en-US"/>
        </w:rPr>
      </w:pPr>
    </w:p>
    <w:p w14:paraId="0BD3154D" w14:textId="77777777" w:rsidR="004E55AE" w:rsidRPr="001E1B44" w:rsidRDefault="004E55AE" w:rsidP="00684286">
      <w:pPr>
        <w:rPr>
          <w:rFonts w:ascii="Century Gothic" w:hAnsi="Century Gothic"/>
          <w:lang w:val="en-US"/>
        </w:rPr>
      </w:pPr>
    </w:p>
    <w:p w14:paraId="3BE4F0CE" w14:textId="77777777" w:rsidR="004E55AE" w:rsidRPr="001E1B44" w:rsidRDefault="004E55AE" w:rsidP="00684286">
      <w:pPr>
        <w:rPr>
          <w:rFonts w:ascii="Century Gothic" w:hAnsi="Century Gothic"/>
          <w:lang w:val="en-US"/>
        </w:rPr>
      </w:pPr>
    </w:p>
    <w:p w14:paraId="58F6F3C3" w14:textId="77777777" w:rsidR="004E55AE" w:rsidRPr="001E1B44" w:rsidRDefault="004E55AE" w:rsidP="00684286">
      <w:pPr>
        <w:rPr>
          <w:rFonts w:ascii="Century Gothic" w:hAnsi="Century Gothic"/>
          <w:lang w:val="en-US"/>
        </w:rPr>
      </w:pPr>
    </w:p>
    <w:p w14:paraId="14F27362" w14:textId="77777777" w:rsidR="004E55AE" w:rsidRPr="001E1B44" w:rsidRDefault="004E55AE" w:rsidP="00684286">
      <w:pPr>
        <w:rPr>
          <w:rFonts w:ascii="Century Gothic" w:hAnsi="Century Gothic"/>
          <w:lang w:val="en-US"/>
        </w:rPr>
      </w:pPr>
    </w:p>
    <w:p w14:paraId="437C4CFD"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5EDC6800" w14:textId="77777777" w:rsidTr="004E55AE">
        <w:tc>
          <w:tcPr>
            <w:tcW w:w="2689" w:type="dxa"/>
            <w:shd w:val="clear" w:color="auto" w:fill="290076"/>
          </w:tcPr>
          <w:p w14:paraId="12A2618D"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7A851751" w14:textId="77777777" w:rsidR="004E55AE" w:rsidRPr="001E1B44" w:rsidRDefault="004F6EB5" w:rsidP="00684286">
            <w:pPr>
              <w:rPr>
                <w:rFonts w:ascii="Century Gothic" w:hAnsi="Century Gothic"/>
                <w:sz w:val="20"/>
                <w:szCs w:val="20"/>
                <w:lang w:val="en-US"/>
              </w:rPr>
            </w:pPr>
            <w:r>
              <w:rPr>
                <w:rFonts w:ascii="Century Gothic" w:hAnsi="Century Gothic"/>
                <w:sz w:val="20"/>
                <w:szCs w:val="20"/>
                <w:lang w:val="en-US"/>
              </w:rPr>
              <w:t>Compliance Manager</w:t>
            </w:r>
          </w:p>
        </w:tc>
      </w:tr>
      <w:tr w:rsidR="004E55AE" w:rsidRPr="001E1B44" w14:paraId="685C4966" w14:textId="77777777" w:rsidTr="004E55AE">
        <w:tc>
          <w:tcPr>
            <w:tcW w:w="2689" w:type="dxa"/>
            <w:shd w:val="clear" w:color="auto" w:fill="290076"/>
          </w:tcPr>
          <w:p w14:paraId="488E9F4B"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2281CB2D" w14:textId="485B0800" w:rsidR="004E55AE" w:rsidRPr="001E1B44" w:rsidRDefault="00FE065F" w:rsidP="00684286">
            <w:pPr>
              <w:rPr>
                <w:rFonts w:ascii="Century Gothic" w:hAnsi="Century Gothic"/>
                <w:sz w:val="20"/>
                <w:szCs w:val="20"/>
                <w:lang w:val="en-US"/>
              </w:rPr>
            </w:pPr>
            <w:r>
              <w:rPr>
                <w:rFonts w:ascii="Century Gothic" w:hAnsi="Century Gothic"/>
                <w:sz w:val="20"/>
                <w:szCs w:val="20"/>
                <w:lang w:val="en-US"/>
              </w:rPr>
              <w:t>July 202</w:t>
            </w:r>
            <w:r w:rsidR="00894F5E">
              <w:rPr>
                <w:rFonts w:ascii="Century Gothic" w:hAnsi="Century Gothic"/>
                <w:sz w:val="20"/>
                <w:szCs w:val="20"/>
                <w:lang w:val="en-US"/>
              </w:rPr>
              <w:t>5</w:t>
            </w:r>
          </w:p>
        </w:tc>
      </w:tr>
      <w:tr w:rsidR="004E55AE" w:rsidRPr="001E1B44" w14:paraId="41CECA3B" w14:textId="77777777" w:rsidTr="004E55AE">
        <w:tc>
          <w:tcPr>
            <w:tcW w:w="2689" w:type="dxa"/>
            <w:shd w:val="clear" w:color="auto" w:fill="290076"/>
          </w:tcPr>
          <w:p w14:paraId="3778B5E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2CE755AE" w14:textId="77777777" w:rsidR="004E55AE" w:rsidRPr="001E1B44" w:rsidRDefault="00A15B1C" w:rsidP="00684286">
            <w:pPr>
              <w:rPr>
                <w:rFonts w:ascii="Century Gothic" w:hAnsi="Century Gothic"/>
                <w:sz w:val="20"/>
                <w:szCs w:val="20"/>
                <w:lang w:val="en-US"/>
              </w:rPr>
            </w:pPr>
            <w:r>
              <w:rPr>
                <w:rFonts w:ascii="Century Gothic" w:hAnsi="Century Gothic"/>
                <w:sz w:val="20"/>
                <w:szCs w:val="20"/>
                <w:lang w:val="en-US"/>
              </w:rPr>
              <w:t>Craig Mincher – Executive Director</w:t>
            </w:r>
          </w:p>
        </w:tc>
      </w:tr>
      <w:tr w:rsidR="004E55AE" w:rsidRPr="001E1B44" w14:paraId="78B46F83" w14:textId="77777777" w:rsidTr="004E55AE">
        <w:tc>
          <w:tcPr>
            <w:tcW w:w="2689" w:type="dxa"/>
            <w:shd w:val="clear" w:color="auto" w:fill="290076"/>
          </w:tcPr>
          <w:p w14:paraId="353100F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33FFD5A8" w14:textId="6E5E96DB" w:rsidR="004E55AE" w:rsidRPr="001E1B44" w:rsidRDefault="00680202" w:rsidP="00684286">
            <w:pPr>
              <w:rPr>
                <w:rFonts w:ascii="Century Gothic" w:hAnsi="Century Gothic"/>
                <w:sz w:val="20"/>
                <w:szCs w:val="20"/>
                <w:lang w:val="en-US"/>
              </w:rPr>
            </w:pPr>
            <w:r>
              <w:rPr>
                <w:rFonts w:ascii="Century Gothic" w:hAnsi="Century Gothic"/>
                <w:sz w:val="20"/>
                <w:szCs w:val="20"/>
                <w:lang w:val="en-US"/>
              </w:rPr>
              <w:t>July 202</w:t>
            </w:r>
            <w:r w:rsidR="00022020">
              <w:rPr>
                <w:rFonts w:ascii="Century Gothic" w:hAnsi="Century Gothic"/>
                <w:sz w:val="20"/>
                <w:szCs w:val="20"/>
                <w:lang w:val="en-US"/>
              </w:rPr>
              <w:t>4</w:t>
            </w:r>
          </w:p>
        </w:tc>
      </w:tr>
      <w:tr w:rsidR="004E55AE" w:rsidRPr="001E1B44" w14:paraId="040E6FA4" w14:textId="77777777" w:rsidTr="004E55AE">
        <w:tc>
          <w:tcPr>
            <w:tcW w:w="2689" w:type="dxa"/>
            <w:shd w:val="clear" w:color="auto" w:fill="290076"/>
          </w:tcPr>
          <w:p w14:paraId="3D26DA7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1698EED0" w14:textId="2CFF8354" w:rsidR="004E55AE" w:rsidRPr="001E1B44" w:rsidRDefault="00534E6A" w:rsidP="00684286">
            <w:pPr>
              <w:rPr>
                <w:rFonts w:ascii="Century Gothic" w:hAnsi="Century Gothic"/>
                <w:sz w:val="20"/>
                <w:szCs w:val="20"/>
                <w:lang w:val="en-US"/>
              </w:rPr>
            </w:pPr>
            <w:r>
              <w:rPr>
                <w:rFonts w:ascii="Century Gothic" w:hAnsi="Century Gothic"/>
                <w:sz w:val="20"/>
                <w:szCs w:val="20"/>
                <w:lang w:val="en-US"/>
              </w:rPr>
              <w:t>Ju</w:t>
            </w:r>
            <w:r w:rsidR="00680202">
              <w:rPr>
                <w:rFonts w:ascii="Century Gothic" w:hAnsi="Century Gothic"/>
                <w:sz w:val="20"/>
                <w:szCs w:val="20"/>
                <w:lang w:val="en-US"/>
              </w:rPr>
              <w:t>ly</w:t>
            </w:r>
            <w:r>
              <w:rPr>
                <w:rFonts w:ascii="Century Gothic" w:hAnsi="Century Gothic"/>
                <w:sz w:val="20"/>
                <w:szCs w:val="20"/>
                <w:lang w:val="en-US"/>
              </w:rPr>
              <w:t xml:space="preserve"> </w:t>
            </w:r>
            <w:r w:rsidR="00A15B1C">
              <w:rPr>
                <w:rFonts w:ascii="Century Gothic" w:hAnsi="Century Gothic"/>
                <w:sz w:val="20"/>
                <w:szCs w:val="20"/>
                <w:lang w:val="en-US"/>
              </w:rPr>
              <w:t>202</w:t>
            </w:r>
            <w:r w:rsidR="00894F5E">
              <w:rPr>
                <w:rFonts w:ascii="Century Gothic" w:hAnsi="Century Gothic"/>
                <w:sz w:val="20"/>
                <w:szCs w:val="20"/>
                <w:lang w:val="en-US"/>
              </w:rPr>
              <w:t>6</w:t>
            </w:r>
          </w:p>
        </w:tc>
      </w:tr>
    </w:tbl>
    <w:p w14:paraId="38DDA465" w14:textId="77777777" w:rsidR="00461F6F" w:rsidRPr="001E1B44" w:rsidRDefault="00461F6F" w:rsidP="00684286">
      <w:pPr>
        <w:rPr>
          <w:rFonts w:ascii="Century Gothic" w:hAnsi="Century Gothic" w:cs="Tahoma"/>
          <w:color w:val="290076"/>
          <w:lang w:eastAsia="en-GB"/>
        </w:rPr>
      </w:pPr>
    </w:p>
    <w:p w14:paraId="29F88AEA"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715"/>
        <w:gridCol w:w="4642"/>
        <w:gridCol w:w="1825"/>
      </w:tblGrid>
      <w:tr w:rsidR="004E55AE" w:rsidRPr="001E1B44" w14:paraId="511AE8CC" w14:textId="77777777" w:rsidTr="00894F5E">
        <w:tc>
          <w:tcPr>
            <w:tcW w:w="798" w:type="pct"/>
            <w:tcBorders>
              <w:top w:val="single" w:sz="4" w:space="0" w:color="auto"/>
              <w:left w:val="single" w:sz="4" w:space="0" w:color="auto"/>
              <w:bottom w:val="single" w:sz="4" w:space="0" w:color="auto"/>
              <w:right w:val="single" w:sz="4" w:space="0" w:color="auto"/>
            </w:tcBorders>
            <w:shd w:val="clear" w:color="auto" w:fill="290076"/>
            <w:hideMark/>
          </w:tcPr>
          <w:p w14:paraId="3EF5ECC7"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7B8969DA"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61AECF0C"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8" w:type="pct"/>
            <w:tcBorders>
              <w:top w:val="single" w:sz="4" w:space="0" w:color="auto"/>
              <w:left w:val="single" w:sz="4" w:space="0" w:color="auto"/>
              <w:bottom w:val="single" w:sz="4" w:space="0" w:color="auto"/>
              <w:right w:val="single" w:sz="4" w:space="0" w:color="auto"/>
            </w:tcBorders>
            <w:shd w:val="clear" w:color="auto" w:fill="290076"/>
            <w:hideMark/>
          </w:tcPr>
          <w:p w14:paraId="0A49ED22"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F6EB5" w:rsidRPr="001E1B44" w14:paraId="0C915751" w14:textId="77777777" w:rsidTr="00894F5E">
        <w:tc>
          <w:tcPr>
            <w:tcW w:w="798" w:type="pct"/>
            <w:tcBorders>
              <w:top w:val="single" w:sz="4" w:space="0" w:color="auto"/>
              <w:left w:val="single" w:sz="4" w:space="0" w:color="auto"/>
              <w:bottom w:val="single" w:sz="4" w:space="0" w:color="auto"/>
              <w:right w:val="single" w:sz="4" w:space="0" w:color="auto"/>
            </w:tcBorders>
          </w:tcPr>
          <w:p w14:paraId="1061C3D6" w14:textId="77777777" w:rsidR="004F6EB5" w:rsidRPr="004F6EB5" w:rsidRDefault="004F6EB5" w:rsidP="004F6EB5">
            <w:pPr>
              <w:spacing w:after="0" w:line="240" w:lineRule="auto"/>
              <w:jc w:val="center"/>
              <w:rPr>
                <w:rFonts w:ascii="Century Gothic" w:eastAsia="Calibri" w:hAnsi="Century Gothic"/>
                <w:sz w:val="20"/>
                <w:szCs w:val="20"/>
              </w:rPr>
            </w:pPr>
            <w:r w:rsidRPr="004F6EB5">
              <w:rPr>
                <w:rFonts w:ascii="Century Gothic" w:eastAsia="Calibri" w:hAnsi="Century Gothic"/>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11A2A789" w14:textId="77777777" w:rsidR="004F6EB5" w:rsidRPr="004F6EB5" w:rsidRDefault="00FE41E4"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 xml:space="preserve">July </w:t>
            </w:r>
            <w:r w:rsidR="004F6EB5" w:rsidRPr="004F6EB5">
              <w:rPr>
                <w:rFonts w:ascii="Century Gothic" w:eastAsia="Calibri" w:hAnsi="Century Gothic"/>
                <w:sz w:val="20"/>
                <w:szCs w:val="20"/>
              </w:rPr>
              <w:t>2021</w:t>
            </w:r>
          </w:p>
        </w:tc>
        <w:tc>
          <w:tcPr>
            <w:tcW w:w="2384" w:type="pct"/>
            <w:tcBorders>
              <w:top w:val="single" w:sz="4" w:space="0" w:color="auto"/>
              <w:left w:val="single" w:sz="4" w:space="0" w:color="auto"/>
              <w:bottom w:val="single" w:sz="4" w:space="0" w:color="auto"/>
              <w:right w:val="single" w:sz="4" w:space="0" w:color="auto"/>
            </w:tcBorders>
          </w:tcPr>
          <w:p w14:paraId="2801EE7D"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Revised template, reviewed and updated the content and combined policies into one.</w:t>
            </w:r>
          </w:p>
        </w:tc>
        <w:tc>
          <w:tcPr>
            <w:tcW w:w="938" w:type="pct"/>
            <w:tcBorders>
              <w:top w:val="single" w:sz="4" w:space="0" w:color="auto"/>
              <w:left w:val="single" w:sz="4" w:space="0" w:color="auto"/>
              <w:bottom w:val="single" w:sz="4" w:space="0" w:color="auto"/>
              <w:right w:val="single" w:sz="4" w:space="0" w:color="auto"/>
            </w:tcBorders>
          </w:tcPr>
          <w:p w14:paraId="6D270255"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Mikaela Collins</w:t>
            </w:r>
          </w:p>
        </w:tc>
      </w:tr>
      <w:tr w:rsidR="004F6EB5" w:rsidRPr="001E1B44" w14:paraId="3602A67C" w14:textId="77777777" w:rsidTr="00894F5E">
        <w:tc>
          <w:tcPr>
            <w:tcW w:w="798" w:type="pct"/>
            <w:tcBorders>
              <w:top w:val="single" w:sz="4" w:space="0" w:color="auto"/>
              <w:left w:val="single" w:sz="4" w:space="0" w:color="auto"/>
              <w:bottom w:val="single" w:sz="4" w:space="0" w:color="auto"/>
              <w:right w:val="single" w:sz="4" w:space="0" w:color="auto"/>
            </w:tcBorders>
          </w:tcPr>
          <w:p w14:paraId="3ECF6936" w14:textId="77777777" w:rsidR="004F6EB5" w:rsidRPr="004F6EB5" w:rsidRDefault="004F6EB5" w:rsidP="004F6EB5">
            <w:pPr>
              <w:spacing w:after="0" w:line="240" w:lineRule="auto"/>
              <w:jc w:val="center"/>
              <w:rPr>
                <w:rFonts w:ascii="Century Gothic" w:eastAsia="Calibri" w:hAnsi="Century Gothic"/>
                <w:sz w:val="20"/>
                <w:szCs w:val="20"/>
              </w:rPr>
            </w:pPr>
            <w:r w:rsidRPr="004F6EB5">
              <w:rPr>
                <w:rFonts w:ascii="Century Gothic" w:eastAsia="Calibri" w:hAnsi="Century Gothic"/>
                <w:sz w:val="20"/>
                <w:szCs w:val="20"/>
              </w:rPr>
              <w:t>2</w:t>
            </w:r>
          </w:p>
        </w:tc>
        <w:tc>
          <w:tcPr>
            <w:tcW w:w="881" w:type="pct"/>
            <w:tcBorders>
              <w:top w:val="single" w:sz="4" w:space="0" w:color="auto"/>
              <w:left w:val="single" w:sz="4" w:space="0" w:color="auto"/>
              <w:bottom w:val="single" w:sz="4" w:space="0" w:color="auto"/>
              <w:right w:val="single" w:sz="4" w:space="0" w:color="auto"/>
            </w:tcBorders>
          </w:tcPr>
          <w:p w14:paraId="36040B98" w14:textId="77777777" w:rsidR="004F6EB5" w:rsidRPr="004F6EB5" w:rsidRDefault="00FE41E4"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 xml:space="preserve">July </w:t>
            </w:r>
            <w:r w:rsidR="004F6EB5" w:rsidRPr="004F6EB5">
              <w:rPr>
                <w:rFonts w:ascii="Century Gothic" w:eastAsia="Calibri" w:hAnsi="Century Gothic"/>
                <w:sz w:val="20"/>
                <w:szCs w:val="20"/>
              </w:rPr>
              <w:t>2022</w:t>
            </w:r>
          </w:p>
        </w:tc>
        <w:tc>
          <w:tcPr>
            <w:tcW w:w="2384" w:type="pct"/>
            <w:tcBorders>
              <w:top w:val="single" w:sz="4" w:space="0" w:color="auto"/>
              <w:left w:val="single" w:sz="4" w:space="0" w:color="auto"/>
              <w:bottom w:val="single" w:sz="4" w:space="0" w:color="auto"/>
              <w:right w:val="single" w:sz="4" w:space="0" w:color="auto"/>
            </w:tcBorders>
          </w:tcPr>
          <w:p w14:paraId="543D8AED"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 xml:space="preserve">Full policy review and updated content, amended list of subcontractors and volumes </w:t>
            </w:r>
          </w:p>
        </w:tc>
        <w:tc>
          <w:tcPr>
            <w:tcW w:w="938" w:type="pct"/>
            <w:tcBorders>
              <w:top w:val="single" w:sz="4" w:space="0" w:color="auto"/>
              <w:left w:val="single" w:sz="4" w:space="0" w:color="auto"/>
              <w:bottom w:val="single" w:sz="4" w:space="0" w:color="auto"/>
              <w:right w:val="single" w:sz="4" w:space="0" w:color="auto"/>
            </w:tcBorders>
          </w:tcPr>
          <w:p w14:paraId="58079597" w14:textId="77777777" w:rsidR="004F6EB5" w:rsidRPr="004F6EB5" w:rsidRDefault="004F6EB5" w:rsidP="004F6EB5">
            <w:pPr>
              <w:spacing w:after="0" w:line="240" w:lineRule="auto"/>
              <w:rPr>
                <w:rFonts w:ascii="Century Gothic" w:eastAsia="Calibri" w:hAnsi="Century Gothic"/>
                <w:sz w:val="20"/>
                <w:szCs w:val="20"/>
              </w:rPr>
            </w:pPr>
            <w:r w:rsidRPr="004F6EB5">
              <w:rPr>
                <w:rFonts w:ascii="Century Gothic" w:eastAsia="Calibri" w:hAnsi="Century Gothic"/>
                <w:sz w:val="20"/>
                <w:szCs w:val="20"/>
              </w:rPr>
              <w:t>Mikaela Collins</w:t>
            </w:r>
          </w:p>
        </w:tc>
      </w:tr>
      <w:tr w:rsidR="004F6EB5" w:rsidRPr="001E1B44" w14:paraId="069E7366" w14:textId="77777777" w:rsidTr="00894F5E">
        <w:tc>
          <w:tcPr>
            <w:tcW w:w="798" w:type="pct"/>
            <w:tcBorders>
              <w:top w:val="single" w:sz="4" w:space="0" w:color="auto"/>
              <w:left w:val="single" w:sz="4" w:space="0" w:color="auto"/>
              <w:bottom w:val="single" w:sz="4" w:space="0" w:color="auto"/>
              <w:right w:val="single" w:sz="4" w:space="0" w:color="auto"/>
            </w:tcBorders>
          </w:tcPr>
          <w:p w14:paraId="1EB9BAB7" w14:textId="77777777" w:rsidR="004F6EB5" w:rsidRPr="004F6EB5" w:rsidRDefault="004F6EB5"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14:paraId="563CC5E3" w14:textId="77777777" w:rsidR="004F6EB5" w:rsidRPr="004F6EB5" w:rsidRDefault="004F6EB5"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October 2023</w:t>
            </w:r>
          </w:p>
        </w:tc>
        <w:tc>
          <w:tcPr>
            <w:tcW w:w="2384" w:type="pct"/>
            <w:tcBorders>
              <w:top w:val="single" w:sz="4" w:space="0" w:color="auto"/>
              <w:left w:val="single" w:sz="4" w:space="0" w:color="auto"/>
              <w:bottom w:val="single" w:sz="4" w:space="0" w:color="auto"/>
              <w:right w:val="single" w:sz="4" w:space="0" w:color="auto"/>
            </w:tcBorders>
          </w:tcPr>
          <w:p w14:paraId="74807346" w14:textId="77777777" w:rsidR="004F6EB5" w:rsidRPr="004F6EB5" w:rsidRDefault="004F6EB5" w:rsidP="004F6EB5">
            <w:pPr>
              <w:spacing w:after="0" w:line="240" w:lineRule="auto"/>
              <w:rPr>
                <w:rFonts w:ascii="Century Gothic" w:eastAsia="Calibri" w:hAnsi="Century Gothic"/>
                <w:sz w:val="20"/>
                <w:szCs w:val="20"/>
              </w:rPr>
            </w:pPr>
            <w:r>
              <w:rPr>
                <w:rFonts w:ascii="Century Gothic" w:eastAsia="Calibri" w:hAnsi="Century Gothic"/>
                <w:sz w:val="20"/>
                <w:szCs w:val="20"/>
              </w:rPr>
              <w:t xml:space="preserve">Full Policy </w:t>
            </w:r>
            <w:r w:rsidR="00534E6A">
              <w:rPr>
                <w:rFonts w:ascii="Century Gothic" w:eastAsia="Calibri" w:hAnsi="Century Gothic"/>
                <w:sz w:val="20"/>
                <w:szCs w:val="20"/>
              </w:rPr>
              <w:t>Review</w:t>
            </w:r>
          </w:p>
        </w:tc>
        <w:tc>
          <w:tcPr>
            <w:tcW w:w="938" w:type="pct"/>
            <w:tcBorders>
              <w:top w:val="single" w:sz="4" w:space="0" w:color="auto"/>
              <w:left w:val="single" w:sz="4" w:space="0" w:color="auto"/>
              <w:bottom w:val="single" w:sz="4" w:space="0" w:color="auto"/>
              <w:right w:val="single" w:sz="4" w:space="0" w:color="auto"/>
            </w:tcBorders>
          </w:tcPr>
          <w:p w14:paraId="7ED32E26" w14:textId="77777777" w:rsidR="004F6EB5" w:rsidRPr="004F6EB5" w:rsidRDefault="004F6EB5" w:rsidP="004F6EB5">
            <w:pPr>
              <w:spacing w:after="0" w:line="240" w:lineRule="auto"/>
              <w:rPr>
                <w:rFonts w:ascii="Century Gothic" w:eastAsia="Calibri" w:hAnsi="Century Gothic"/>
                <w:sz w:val="20"/>
                <w:szCs w:val="20"/>
              </w:rPr>
            </w:pPr>
            <w:r>
              <w:rPr>
                <w:rFonts w:ascii="Century Gothic" w:eastAsia="Calibri" w:hAnsi="Century Gothic"/>
                <w:sz w:val="20"/>
                <w:szCs w:val="20"/>
              </w:rPr>
              <w:t>HLH</w:t>
            </w:r>
          </w:p>
        </w:tc>
      </w:tr>
      <w:tr w:rsidR="00AF29FE" w:rsidRPr="001E1B44" w14:paraId="09184802" w14:textId="77777777" w:rsidTr="00894F5E">
        <w:tc>
          <w:tcPr>
            <w:tcW w:w="798" w:type="pct"/>
            <w:tcBorders>
              <w:top w:val="single" w:sz="4" w:space="0" w:color="auto"/>
              <w:left w:val="single" w:sz="4" w:space="0" w:color="auto"/>
              <w:bottom w:val="single" w:sz="4" w:space="0" w:color="auto"/>
              <w:right w:val="single" w:sz="4" w:space="0" w:color="auto"/>
            </w:tcBorders>
          </w:tcPr>
          <w:p w14:paraId="07BDD2D2" w14:textId="77777777" w:rsidR="00AF29FE" w:rsidRDefault="00AF29F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4</w:t>
            </w:r>
          </w:p>
        </w:tc>
        <w:tc>
          <w:tcPr>
            <w:tcW w:w="881" w:type="pct"/>
            <w:tcBorders>
              <w:top w:val="single" w:sz="4" w:space="0" w:color="auto"/>
              <w:left w:val="single" w:sz="4" w:space="0" w:color="auto"/>
              <w:bottom w:val="single" w:sz="4" w:space="0" w:color="auto"/>
              <w:right w:val="single" w:sz="4" w:space="0" w:color="auto"/>
            </w:tcBorders>
          </w:tcPr>
          <w:p w14:paraId="184D6FB3" w14:textId="77777777" w:rsidR="00AF29FE" w:rsidRDefault="00AF29F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Ju</w:t>
            </w:r>
            <w:r w:rsidR="00680202">
              <w:rPr>
                <w:rFonts w:ascii="Century Gothic" w:eastAsia="Calibri" w:hAnsi="Century Gothic"/>
                <w:sz w:val="20"/>
                <w:szCs w:val="20"/>
              </w:rPr>
              <w:t>ly</w:t>
            </w:r>
            <w:r>
              <w:rPr>
                <w:rFonts w:ascii="Century Gothic" w:eastAsia="Calibri" w:hAnsi="Century Gothic"/>
                <w:sz w:val="20"/>
                <w:szCs w:val="20"/>
              </w:rPr>
              <w:t xml:space="preserve"> 2024</w:t>
            </w:r>
          </w:p>
        </w:tc>
        <w:tc>
          <w:tcPr>
            <w:tcW w:w="2384" w:type="pct"/>
            <w:tcBorders>
              <w:top w:val="single" w:sz="4" w:space="0" w:color="auto"/>
              <w:left w:val="single" w:sz="4" w:space="0" w:color="auto"/>
              <w:bottom w:val="single" w:sz="4" w:space="0" w:color="auto"/>
              <w:right w:val="single" w:sz="4" w:space="0" w:color="auto"/>
            </w:tcBorders>
          </w:tcPr>
          <w:p w14:paraId="6DC2DC59" w14:textId="77777777" w:rsidR="00AF29FE" w:rsidRDefault="00AF29FE" w:rsidP="004F6EB5">
            <w:pPr>
              <w:spacing w:after="0" w:line="240" w:lineRule="auto"/>
              <w:rPr>
                <w:rFonts w:ascii="Century Gothic" w:eastAsia="Calibri" w:hAnsi="Century Gothic"/>
                <w:sz w:val="20"/>
                <w:szCs w:val="20"/>
              </w:rPr>
            </w:pPr>
            <w:r>
              <w:rPr>
                <w:rFonts w:ascii="Century Gothic" w:eastAsia="Calibri" w:hAnsi="Century Gothic"/>
                <w:sz w:val="20"/>
                <w:szCs w:val="20"/>
              </w:rPr>
              <w:t>Full Policy Review</w:t>
            </w:r>
          </w:p>
        </w:tc>
        <w:tc>
          <w:tcPr>
            <w:tcW w:w="938" w:type="pct"/>
            <w:tcBorders>
              <w:top w:val="single" w:sz="4" w:space="0" w:color="auto"/>
              <w:left w:val="single" w:sz="4" w:space="0" w:color="auto"/>
              <w:bottom w:val="single" w:sz="4" w:space="0" w:color="auto"/>
              <w:right w:val="single" w:sz="4" w:space="0" w:color="auto"/>
            </w:tcBorders>
          </w:tcPr>
          <w:p w14:paraId="678C369E" w14:textId="77777777" w:rsidR="00AF29FE" w:rsidRDefault="00AF29FE" w:rsidP="004F6EB5">
            <w:pPr>
              <w:spacing w:after="0" w:line="240" w:lineRule="auto"/>
              <w:rPr>
                <w:rFonts w:ascii="Century Gothic" w:eastAsia="Calibri" w:hAnsi="Century Gothic"/>
                <w:sz w:val="20"/>
                <w:szCs w:val="20"/>
              </w:rPr>
            </w:pPr>
            <w:r>
              <w:rPr>
                <w:rFonts w:ascii="Century Gothic" w:eastAsia="Calibri" w:hAnsi="Century Gothic"/>
                <w:sz w:val="20"/>
                <w:szCs w:val="20"/>
              </w:rPr>
              <w:t>HLH</w:t>
            </w:r>
          </w:p>
        </w:tc>
      </w:tr>
      <w:tr w:rsidR="00894F5E" w:rsidRPr="001E1B44" w14:paraId="2DC98C5B" w14:textId="77777777" w:rsidTr="00894F5E">
        <w:tc>
          <w:tcPr>
            <w:tcW w:w="798" w:type="pct"/>
            <w:tcBorders>
              <w:top w:val="single" w:sz="4" w:space="0" w:color="auto"/>
              <w:left w:val="single" w:sz="4" w:space="0" w:color="auto"/>
              <w:bottom w:val="single" w:sz="4" w:space="0" w:color="auto"/>
              <w:right w:val="single" w:sz="4" w:space="0" w:color="auto"/>
            </w:tcBorders>
          </w:tcPr>
          <w:p w14:paraId="5BD1A23A" w14:textId="281A474B" w:rsidR="00894F5E" w:rsidRDefault="00894F5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5</w:t>
            </w:r>
          </w:p>
        </w:tc>
        <w:tc>
          <w:tcPr>
            <w:tcW w:w="881" w:type="pct"/>
            <w:tcBorders>
              <w:top w:val="single" w:sz="4" w:space="0" w:color="auto"/>
              <w:left w:val="single" w:sz="4" w:space="0" w:color="auto"/>
              <w:bottom w:val="single" w:sz="4" w:space="0" w:color="auto"/>
              <w:right w:val="single" w:sz="4" w:space="0" w:color="auto"/>
            </w:tcBorders>
          </w:tcPr>
          <w:p w14:paraId="144964FD" w14:textId="41BE3F64" w:rsidR="00894F5E" w:rsidRDefault="00894F5E" w:rsidP="004F6EB5">
            <w:pPr>
              <w:spacing w:after="0" w:line="240" w:lineRule="auto"/>
              <w:jc w:val="center"/>
              <w:rPr>
                <w:rFonts w:ascii="Century Gothic" w:eastAsia="Calibri" w:hAnsi="Century Gothic"/>
                <w:sz w:val="20"/>
                <w:szCs w:val="20"/>
              </w:rPr>
            </w:pPr>
            <w:r>
              <w:rPr>
                <w:rFonts w:ascii="Century Gothic" w:eastAsia="Calibri" w:hAnsi="Century Gothic"/>
                <w:sz w:val="20"/>
                <w:szCs w:val="20"/>
              </w:rPr>
              <w:t>July 2025</w:t>
            </w:r>
          </w:p>
        </w:tc>
        <w:tc>
          <w:tcPr>
            <w:tcW w:w="2384" w:type="pct"/>
            <w:tcBorders>
              <w:top w:val="single" w:sz="4" w:space="0" w:color="auto"/>
              <w:left w:val="single" w:sz="4" w:space="0" w:color="auto"/>
              <w:bottom w:val="single" w:sz="4" w:space="0" w:color="auto"/>
              <w:right w:val="single" w:sz="4" w:space="0" w:color="auto"/>
            </w:tcBorders>
          </w:tcPr>
          <w:p w14:paraId="5EB3F02F" w14:textId="67E20F55" w:rsidR="00894F5E" w:rsidRDefault="00894F5E" w:rsidP="004F6EB5">
            <w:pPr>
              <w:spacing w:after="0" w:line="240" w:lineRule="auto"/>
              <w:rPr>
                <w:rFonts w:ascii="Century Gothic" w:eastAsia="Calibri" w:hAnsi="Century Gothic"/>
                <w:sz w:val="20"/>
                <w:szCs w:val="20"/>
              </w:rPr>
            </w:pPr>
            <w:r>
              <w:rPr>
                <w:rFonts w:ascii="Century Gothic" w:eastAsia="Calibri" w:hAnsi="Century Gothic"/>
                <w:sz w:val="20"/>
                <w:szCs w:val="20"/>
              </w:rPr>
              <w:t>Full Policy Review</w:t>
            </w:r>
          </w:p>
        </w:tc>
        <w:tc>
          <w:tcPr>
            <w:tcW w:w="938" w:type="pct"/>
            <w:tcBorders>
              <w:top w:val="single" w:sz="4" w:space="0" w:color="auto"/>
              <w:left w:val="single" w:sz="4" w:space="0" w:color="auto"/>
              <w:bottom w:val="single" w:sz="4" w:space="0" w:color="auto"/>
              <w:right w:val="single" w:sz="4" w:space="0" w:color="auto"/>
            </w:tcBorders>
          </w:tcPr>
          <w:p w14:paraId="381236B5" w14:textId="1B75CF89" w:rsidR="00894F5E" w:rsidRDefault="00894F5E" w:rsidP="004F6EB5">
            <w:pPr>
              <w:spacing w:after="0" w:line="240" w:lineRule="auto"/>
              <w:rPr>
                <w:rFonts w:ascii="Century Gothic" w:eastAsia="Calibri" w:hAnsi="Century Gothic"/>
                <w:sz w:val="20"/>
                <w:szCs w:val="20"/>
              </w:rPr>
            </w:pPr>
            <w:r>
              <w:rPr>
                <w:rFonts w:ascii="Century Gothic" w:eastAsia="Calibri" w:hAnsi="Century Gothic"/>
                <w:sz w:val="20"/>
                <w:szCs w:val="20"/>
              </w:rPr>
              <w:t>HLH</w:t>
            </w:r>
          </w:p>
        </w:tc>
      </w:tr>
    </w:tbl>
    <w:p w14:paraId="038F2AD4"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266AC00A" w14:textId="77777777" w:rsidR="00E82381"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49309390" w:history="1">
        <w:r w:rsidR="00E82381" w:rsidRPr="00D75F69">
          <w:rPr>
            <w:rStyle w:val="Hyperlink"/>
            <w:rFonts w:ascii="Century Gothic" w:hAnsi="Century Gothic" w:cs="Tahoma"/>
            <w:noProof/>
          </w:rPr>
          <w:t>1.</w:t>
        </w:r>
        <w:r w:rsidR="00E82381">
          <w:rPr>
            <w:rFonts w:asciiTheme="minorHAnsi" w:eastAsiaTheme="minorEastAsia" w:hAnsiTheme="minorHAnsi" w:cstheme="minorBidi"/>
            <w:noProof/>
            <w:sz w:val="22"/>
            <w:szCs w:val="22"/>
            <w:lang w:val="en-GB" w:eastAsia="en-GB"/>
          </w:rPr>
          <w:tab/>
        </w:r>
        <w:r w:rsidR="00E82381" w:rsidRPr="00D75F69">
          <w:rPr>
            <w:rStyle w:val="Hyperlink"/>
            <w:rFonts w:ascii="Century Gothic" w:hAnsi="Century Gothic" w:cs="Tahoma"/>
            <w:noProof/>
          </w:rPr>
          <w:t>Introduction</w:t>
        </w:r>
        <w:r w:rsidR="00E82381">
          <w:rPr>
            <w:noProof/>
            <w:webHidden/>
          </w:rPr>
          <w:tab/>
        </w:r>
        <w:r w:rsidR="00E82381">
          <w:rPr>
            <w:noProof/>
            <w:webHidden/>
          </w:rPr>
          <w:fldChar w:fldCharType="begin"/>
        </w:r>
        <w:r w:rsidR="00E82381">
          <w:rPr>
            <w:noProof/>
            <w:webHidden/>
          </w:rPr>
          <w:instrText xml:space="preserve"> PAGEREF _Toc149309390 \h </w:instrText>
        </w:r>
        <w:r w:rsidR="00E82381">
          <w:rPr>
            <w:noProof/>
            <w:webHidden/>
          </w:rPr>
        </w:r>
        <w:r w:rsidR="00E82381">
          <w:rPr>
            <w:noProof/>
            <w:webHidden/>
          </w:rPr>
          <w:fldChar w:fldCharType="separate"/>
        </w:r>
        <w:r w:rsidR="00E82381">
          <w:rPr>
            <w:noProof/>
            <w:webHidden/>
          </w:rPr>
          <w:t>2</w:t>
        </w:r>
        <w:r w:rsidR="00E82381">
          <w:rPr>
            <w:noProof/>
            <w:webHidden/>
          </w:rPr>
          <w:fldChar w:fldCharType="end"/>
        </w:r>
      </w:hyperlink>
    </w:p>
    <w:p w14:paraId="6855FBDF"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1" w:history="1">
        <w:r w:rsidRPr="00D75F69">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Overarching Principle</w:t>
        </w:r>
        <w:r>
          <w:rPr>
            <w:noProof/>
            <w:webHidden/>
          </w:rPr>
          <w:tab/>
        </w:r>
        <w:r>
          <w:rPr>
            <w:noProof/>
            <w:webHidden/>
          </w:rPr>
          <w:fldChar w:fldCharType="begin"/>
        </w:r>
        <w:r>
          <w:rPr>
            <w:noProof/>
            <w:webHidden/>
          </w:rPr>
          <w:instrText xml:space="preserve"> PAGEREF _Toc149309391 \h </w:instrText>
        </w:r>
        <w:r>
          <w:rPr>
            <w:noProof/>
            <w:webHidden/>
          </w:rPr>
        </w:r>
        <w:r>
          <w:rPr>
            <w:noProof/>
            <w:webHidden/>
          </w:rPr>
          <w:fldChar w:fldCharType="separate"/>
        </w:r>
        <w:r>
          <w:rPr>
            <w:noProof/>
            <w:webHidden/>
          </w:rPr>
          <w:t>2</w:t>
        </w:r>
        <w:r>
          <w:rPr>
            <w:noProof/>
            <w:webHidden/>
          </w:rPr>
          <w:fldChar w:fldCharType="end"/>
        </w:r>
      </w:hyperlink>
    </w:p>
    <w:p w14:paraId="45AC9BB6"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2" w:history="1">
        <w:r w:rsidRPr="00D75F69">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Rationale for subcontracting</w:t>
        </w:r>
        <w:r>
          <w:rPr>
            <w:noProof/>
            <w:webHidden/>
          </w:rPr>
          <w:tab/>
        </w:r>
        <w:r>
          <w:rPr>
            <w:noProof/>
            <w:webHidden/>
          </w:rPr>
          <w:fldChar w:fldCharType="begin"/>
        </w:r>
        <w:r>
          <w:rPr>
            <w:noProof/>
            <w:webHidden/>
          </w:rPr>
          <w:instrText xml:space="preserve"> PAGEREF _Toc149309392 \h </w:instrText>
        </w:r>
        <w:r>
          <w:rPr>
            <w:noProof/>
            <w:webHidden/>
          </w:rPr>
        </w:r>
        <w:r>
          <w:rPr>
            <w:noProof/>
            <w:webHidden/>
          </w:rPr>
          <w:fldChar w:fldCharType="separate"/>
        </w:r>
        <w:r>
          <w:rPr>
            <w:noProof/>
            <w:webHidden/>
          </w:rPr>
          <w:t>2</w:t>
        </w:r>
        <w:r>
          <w:rPr>
            <w:noProof/>
            <w:webHidden/>
          </w:rPr>
          <w:fldChar w:fldCharType="end"/>
        </w:r>
      </w:hyperlink>
    </w:p>
    <w:p w14:paraId="09DE7F12"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3" w:history="1">
        <w:r w:rsidRPr="00D75F69">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Retained Funding</w:t>
        </w:r>
        <w:r>
          <w:rPr>
            <w:noProof/>
            <w:webHidden/>
          </w:rPr>
          <w:tab/>
        </w:r>
        <w:r>
          <w:rPr>
            <w:noProof/>
            <w:webHidden/>
          </w:rPr>
          <w:fldChar w:fldCharType="begin"/>
        </w:r>
        <w:r>
          <w:rPr>
            <w:noProof/>
            <w:webHidden/>
          </w:rPr>
          <w:instrText xml:space="preserve"> PAGEREF _Toc149309393 \h </w:instrText>
        </w:r>
        <w:r>
          <w:rPr>
            <w:noProof/>
            <w:webHidden/>
          </w:rPr>
        </w:r>
        <w:r>
          <w:rPr>
            <w:noProof/>
            <w:webHidden/>
          </w:rPr>
          <w:fldChar w:fldCharType="separate"/>
        </w:r>
        <w:r>
          <w:rPr>
            <w:noProof/>
            <w:webHidden/>
          </w:rPr>
          <w:t>3</w:t>
        </w:r>
        <w:r>
          <w:rPr>
            <w:noProof/>
            <w:webHidden/>
          </w:rPr>
          <w:fldChar w:fldCharType="end"/>
        </w:r>
      </w:hyperlink>
    </w:p>
    <w:p w14:paraId="37BD82DF"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4" w:history="1">
        <w:r w:rsidRPr="00D75F69">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Management Rates</w:t>
        </w:r>
        <w:r>
          <w:rPr>
            <w:noProof/>
            <w:webHidden/>
          </w:rPr>
          <w:tab/>
        </w:r>
        <w:r>
          <w:rPr>
            <w:noProof/>
            <w:webHidden/>
          </w:rPr>
          <w:fldChar w:fldCharType="begin"/>
        </w:r>
        <w:r>
          <w:rPr>
            <w:noProof/>
            <w:webHidden/>
          </w:rPr>
          <w:instrText xml:space="preserve"> PAGEREF _Toc149309394 \h </w:instrText>
        </w:r>
        <w:r>
          <w:rPr>
            <w:noProof/>
            <w:webHidden/>
          </w:rPr>
        </w:r>
        <w:r>
          <w:rPr>
            <w:noProof/>
            <w:webHidden/>
          </w:rPr>
          <w:fldChar w:fldCharType="separate"/>
        </w:r>
        <w:r>
          <w:rPr>
            <w:noProof/>
            <w:webHidden/>
          </w:rPr>
          <w:t>4</w:t>
        </w:r>
        <w:r>
          <w:rPr>
            <w:noProof/>
            <w:webHidden/>
          </w:rPr>
          <w:fldChar w:fldCharType="end"/>
        </w:r>
      </w:hyperlink>
    </w:p>
    <w:p w14:paraId="7C527ABA"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5" w:history="1">
        <w:r w:rsidRPr="00D75F69">
          <w:rPr>
            <w:rStyle w:val="Hyperlink"/>
            <w:rFonts w:ascii="Century Gothic" w:hAnsi="Century Gothic" w:cs="Tahoma"/>
            <w:noProof/>
          </w:rPr>
          <w:t>6.</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Quality Assurance &amp; Contract Management</w:t>
        </w:r>
        <w:r>
          <w:rPr>
            <w:noProof/>
            <w:webHidden/>
          </w:rPr>
          <w:tab/>
        </w:r>
        <w:r>
          <w:rPr>
            <w:noProof/>
            <w:webHidden/>
          </w:rPr>
          <w:fldChar w:fldCharType="begin"/>
        </w:r>
        <w:r>
          <w:rPr>
            <w:noProof/>
            <w:webHidden/>
          </w:rPr>
          <w:instrText xml:space="preserve"> PAGEREF _Toc149309395 \h </w:instrText>
        </w:r>
        <w:r>
          <w:rPr>
            <w:noProof/>
            <w:webHidden/>
          </w:rPr>
        </w:r>
        <w:r>
          <w:rPr>
            <w:noProof/>
            <w:webHidden/>
          </w:rPr>
          <w:fldChar w:fldCharType="separate"/>
        </w:r>
        <w:r>
          <w:rPr>
            <w:noProof/>
            <w:webHidden/>
          </w:rPr>
          <w:t>4</w:t>
        </w:r>
        <w:r>
          <w:rPr>
            <w:noProof/>
            <w:webHidden/>
          </w:rPr>
          <w:fldChar w:fldCharType="end"/>
        </w:r>
      </w:hyperlink>
    </w:p>
    <w:p w14:paraId="033B29FC" w14:textId="77777777" w:rsidR="00E82381" w:rsidRDefault="00E82381">
      <w:pPr>
        <w:pStyle w:val="TOC1"/>
        <w:rPr>
          <w:rFonts w:asciiTheme="minorHAnsi" w:eastAsiaTheme="minorEastAsia" w:hAnsiTheme="minorHAnsi" w:cstheme="minorBidi"/>
          <w:noProof/>
          <w:sz w:val="22"/>
          <w:szCs w:val="22"/>
          <w:lang w:val="en-GB" w:eastAsia="en-GB"/>
        </w:rPr>
      </w:pPr>
      <w:hyperlink w:anchor="_Toc149309396" w:history="1">
        <w:r w:rsidRPr="00D75F69">
          <w:rPr>
            <w:rStyle w:val="Hyperlink"/>
            <w:rFonts w:ascii="Century Gothic" w:hAnsi="Century Gothic" w:cs="Tahoma"/>
            <w:noProof/>
          </w:rPr>
          <w:t>7.</w:t>
        </w:r>
        <w:r>
          <w:rPr>
            <w:rFonts w:asciiTheme="minorHAnsi" w:eastAsiaTheme="minorEastAsia" w:hAnsiTheme="minorHAnsi" w:cstheme="minorBidi"/>
            <w:noProof/>
            <w:sz w:val="22"/>
            <w:szCs w:val="22"/>
            <w:lang w:val="en-GB" w:eastAsia="en-GB"/>
          </w:rPr>
          <w:tab/>
        </w:r>
        <w:r w:rsidRPr="00D75F69">
          <w:rPr>
            <w:rStyle w:val="Hyperlink"/>
            <w:rFonts w:ascii="Century Gothic" w:hAnsi="Century Gothic" w:cs="Tahoma"/>
            <w:noProof/>
          </w:rPr>
          <w:t>Review</w:t>
        </w:r>
        <w:r>
          <w:rPr>
            <w:noProof/>
            <w:webHidden/>
          </w:rPr>
          <w:tab/>
        </w:r>
        <w:r>
          <w:rPr>
            <w:noProof/>
            <w:webHidden/>
          </w:rPr>
          <w:fldChar w:fldCharType="begin"/>
        </w:r>
        <w:r>
          <w:rPr>
            <w:noProof/>
            <w:webHidden/>
          </w:rPr>
          <w:instrText xml:space="preserve"> PAGEREF _Toc149309396 \h </w:instrText>
        </w:r>
        <w:r>
          <w:rPr>
            <w:noProof/>
            <w:webHidden/>
          </w:rPr>
        </w:r>
        <w:r>
          <w:rPr>
            <w:noProof/>
            <w:webHidden/>
          </w:rPr>
          <w:fldChar w:fldCharType="separate"/>
        </w:r>
        <w:r>
          <w:rPr>
            <w:noProof/>
            <w:webHidden/>
          </w:rPr>
          <w:t>4</w:t>
        </w:r>
        <w:r>
          <w:rPr>
            <w:noProof/>
            <w:webHidden/>
          </w:rPr>
          <w:fldChar w:fldCharType="end"/>
        </w:r>
      </w:hyperlink>
    </w:p>
    <w:p w14:paraId="0FC65821"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472FAA94"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454CEA9F" wp14:editId="32D1AE2E">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AC03E"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AAFD047" w14:textId="77777777" w:rsidR="0009613E" w:rsidRPr="0009613E" w:rsidRDefault="0009613E" w:rsidP="0009613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9309390"/>
      <w:r>
        <w:rPr>
          <w:rFonts w:ascii="Century Gothic" w:hAnsi="Century Gothic" w:cs="Tahoma"/>
          <w:color w:val="290076"/>
          <w:sz w:val="28"/>
          <w:szCs w:val="28"/>
        </w:rPr>
        <w:t>Introduction</w:t>
      </w:r>
      <w:bookmarkEnd w:id="0"/>
    </w:p>
    <w:p w14:paraId="15D5E579" w14:textId="1DD42C89" w:rsidR="008D0312" w:rsidRDefault="008D0312" w:rsidP="00F975C1">
      <w:pPr>
        <w:jc w:val="both"/>
        <w:rPr>
          <w:rFonts w:ascii="Century Gothic" w:hAnsi="Century Gothic"/>
        </w:rPr>
      </w:pPr>
      <w:r w:rsidRPr="008D0312">
        <w:rPr>
          <w:rFonts w:ascii="Century Gothic" w:hAnsi="Century Gothic"/>
        </w:rPr>
        <w:t xml:space="preserve">The policy applies to all supply chain activity supported with funds supplied by the </w:t>
      </w:r>
      <w:r w:rsidR="00131D52">
        <w:rPr>
          <w:rFonts w:ascii="Century Gothic" w:hAnsi="Century Gothic"/>
        </w:rPr>
        <w:t xml:space="preserve">Department </w:t>
      </w:r>
      <w:r w:rsidR="008E4413">
        <w:rPr>
          <w:rFonts w:ascii="Century Gothic" w:hAnsi="Century Gothic"/>
        </w:rPr>
        <w:t>for</w:t>
      </w:r>
      <w:r w:rsidR="00131D52">
        <w:rPr>
          <w:rFonts w:ascii="Century Gothic" w:hAnsi="Century Gothic"/>
        </w:rPr>
        <w:t xml:space="preserve"> Education (DfE)</w:t>
      </w:r>
    </w:p>
    <w:p w14:paraId="49D116D7" w14:textId="77777777" w:rsidR="00376EEA" w:rsidRDefault="00376EEA" w:rsidP="00F975C1">
      <w:pPr>
        <w:jc w:val="both"/>
        <w:rPr>
          <w:rFonts w:ascii="Century Gothic" w:hAnsi="Century Gothic"/>
        </w:rPr>
      </w:pPr>
      <w:r w:rsidRPr="00376EEA">
        <w:rPr>
          <w:rFonts w:ascii="Century Gothic" w:hAnsi="Century Gothic"/>
        </w:rPr>
        <w:t>WBTC’s Board of Directors has approved subcontracting for the purposes of quality and the promoti</w:t>
      </w:r>
      <w:r>
        <w:rPr>
          <w:rFonts w:ascii="Century Gothic" w:hAnsi="Century Gothic"/>
        </w:rPr>
        <w:t>on</w:t>
      </w:r>
      <w:r w:rsidRPr="00376EEA">
        <w:rPr>
          <w:rFonts w:ascii="Century Gothic" w:hAnsi="Century Gothic"/>
        </w:rPr>
        <w:t xml:space="preserve"> of our charitable principles</w:t>
      </w:r>
      <w:r>
        <w:rPr>
          <w:rFonts w:ascii="Century Gothic" w:hAnsi="Century Gothic"/>
        </w:rPr>
        <w:t>.</w:t>
      </w:r>
    </w:p>
    <w:p w14:paraId="756625AC" w14:textId="77777777" w:rsidR="0009613E" w:rsidRPr="0009613E" w:rsidRDefault="0009613E" w:rsidP="0009613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9309391"/>
      <w:r>
        <w:rPr>
          <w:rFonts w:ascii="Century Gothic" w:hAnsi="Century Gothic" w:cs="Tahoma"/>
          <w:color w:val="290076"/>
          <w:sz w:val="28"/>
          <w:szCs w:val="28"/>
        </w:rPr>
        <w:t>Overarching Principle</w:t>
      </w:r>
      <w:bookmarkEnd w:id="1"/>
    </w:p>
    <w:p w14:paraId="6AC02314" w14:textId="77777777" w:rsidR="001E1B44" w:rsidRDefault="00376EEA" w:rsidP="00376EEA">
      <w:pPr>
        <w:jc w:val="both"/>
        <w:rPr>
          <w:rFonts w:ascii="Century Gothic" w:hAnsi="Century Gothic"/>
        </w:rPr>
      </w:pPr>
      <w:r>
        <w:rPr>
          <w:rFonts w:ascii="Century Gothic" w:hAnsi="Century Gothic"/>
        </w:rPr>
        <w:t>WBTC</w:t>
      </w:r>
      <w:r w:rsidRPr="00376EEA">
        <w:rPr>
          <w:rFonts w:ascii="Century Gothic" w:hAnsi="Century Gothic"/>
        </w:rPr>
        <w:t xml:space="preserve"> is committed to being the provider of choice for employer engagement and workforce development training. </w:t>
      </w:r>
      <w:r>
        <w:rPr>
          <w:rFonts w:ascii="Century Gothic" w:hAnsi="Century Gothic"/>
        </w:rPr>
        <w:t>WBTC</w:t>
      </w:r>
      <w:r w:rsidRPr="00376EEA">
        <w:rPr>
          <w:rFonts w:ascii="Century Gothic" w:hAnsi="Century Gothic"/>
        </w:rPr>
        <w:t xml:space="preserve"> has taken the strategic decision to work with high quality partner providers, to complement </w:t>
      </w:r>
      <w:r>
        <w:rPr>
          <w:rFonts w:ascii="Century Gothic" w:hAnsi="Century Gothic"/>
        </w:rPr>
        <w:t xml:space="preserve">our </w:t>
      </w:r>
      <w:r w:rsidRPr="00376EEA">
        <w:rPr>
          <w:rFonts w:ascii="Century Gothic" w:hAnsi="Century Gothic"/>
        </w:rPr>
        <w:t>existing provision, to respond to emerging opportunities and meet the needs of learners and employers across a broad range of sectors.</w:t>
      </w:r>
      <w:r w:rsidR="00F975C1" w:rsidRPr="00F975C1">
        <w:rPr>
          <w:rFonts w:ascii="Century Gothic" w:hAnsi="Century Gothic"/>
        </w:rPr>
        <w:t xml:space="preserve">  </w:t>
      </w:r>
    </w:p>
    <w:p w14:paraId="680EB02C" w14:textId="77777777" w:rsidR="0009613E" w:rsidRPr="0009613E" w:rsidRDefault="0009613E" w:rsidP="0009613E">
      <w:pPr>
        <w:jc w:val="both"/>
        <w:rPr>
          <w:rFonts w:ascii="Century Gothic" w:hAnsi="Century Gothic"/>
        </w:rPr>
      </w:pPr>
      <w:r>
        <w:rPr>
          <w:rFonts w:ascii="Century Gothic" w:hAnsi="Century Gothic"/>
        </w:rPr>
        <w:t xml:space="preserve">WBTC </w:t>
      </w:r>
      <w:r w:rsidRPr="0009613E">
        <w:rPr>
          <w:rFonts w:ascii="Century Gothic" w:hAnsi="Century Gothic"/>
        </w:rPr>
        <w:t>will always undertake fair and transparent procurement activities, conducting robust due diligence procedures on potential Delivery Partners to ensure compliance with the Common Accord at all levels and to ensure the highest quality of learning delivery is made available, demonstrating value for money and a positive impact on learner lives.</w:t>
      </w:r>
    </w:p>
    <w:p w14:paraId="16897622" w14:textId="77777777" w:rsidR="0009613E" w:rsidRPr="001E1B44" w:rsidRDefault="0009613E" w:rsidP="00376EEA">
      <w:pPr>
        <w:jc w:val="both"/>
        <w:rPr>
          <w:rFonts w:ascii="Century Gothic" w:hAnsi="Century Gothic"/>
        </w:rPr>
      </w:pPr>
      <w:r w:rsidRPr="0009613E">
        <w:rPr>
          <w:rFonts w:ascii="Century Gothic" w:hAnsi="Century Gothic"/>
        </w:rPr>
        <w:t xml:space="preserve">The funding that is retained by </w:t>
      </w:r>
      <w:r>
        <w:rPr>
          <w:rFonts w:ascii="Century Gothic" w:hAnsi="Century Gothic"/>
        </w:rPr>
        <w:t>WBTC</w:t>
      </w:r>
      <w:r w:rsidRPr="0009613E">
        <w:rPr>
          <w:rFonts w:ascii="Century Gothic" w:hAnsi="Century Gothic"/>
        </w:rPr>
        <w:t xml:space="preserve"> will be related to the costs of the services provided. These services, and the levels of funding being retained for them, are clearly documented and agreed by all parties, as set out in the contract agreement. The rates of such retained funding will be commercially viable for both sides and will be negotiated and agreed in a fair and transparent manner. They will be proportionate to the actual services being provided.</w:t>
      </w:r>
    </w:p>
    <w:p w14:paraId="3285AA47" w14:textId="77777777" w:rsidR="009F2E46" w:rsidRPr="001E1B44" w:rsidRDefault="00F975C1"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 w:name="_Toc147397191"/>
      <w:bookmarkStart w:id="3" w:name="_Toc147397290"/>
      <w:bookmarkStart w:id="4" w:name="_Toc147398882"/>
      <w:bookmarkStart w:id="5" w:name="_Toc147399590"/>
      <w:bookmarkStart w:id="6" w:name="_Toc147399654"/>
      <w:bookmarkStart w:id="7" w:name="_Toc147397192"/>
      <w:bookmarkStart w:id="8" w:name="_Toc147397291"/>
      <w:bookmarkStart w:id="9" w:name="_Toc147398883"/>
      <w:bookmarkStart w:id="10" w:name="_Toc147399591"/>
      <w:bookmarkStart w:id="11" w:name="_Toc147399655"/>
      <w:bookmarkStart w:id="12" w:name="_Toc147397193"/>
      <w:bookmarkStart w:id="13" w:name="_Toc147397292"/>
      <w:bookmarkStart w:id="14" w:name="_Toc147398884"/>
      <w:bookmarkStart w:id="15" w:name="_Toc147399592"/>
      <w:bookmarkStart w:id="16" w:name="_Toc147399656"/>
      <w:bookmarkStart w:id="17" w:name="_Toc14930939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Century Gothic" w:hAnsi="Century Gothic" w:cs="Tahoma"/>
          <w:color w:val="290076"/>
          <w:sz w:val="28"/>
          <w:szCs w:val="28"/>
        </w:rPr>
        <w:t>R</w:t>
      </w:r>
      <w:r w:rsidR="00376EEA">
        <w:rPr>
          <w:rFonts w:ascii="Century Gothic" w:hAnsi="Century Gothic" w:cs="Tahoma"/>
          <w:color w:val="290076"/>
          <w:sz w:val="28"/>
          <w:szCs w:val="28"/>
        </w:rPr>
        <w:t>ationale</w:t>
      </w:r>
      <w:r>
        <w:rPr>
          <w:rFonts w:ascii="Century Gothic" w:hAnsi="Century Gothic" w:cs="Tahoma"/>
          <w:color w:val="290076"/>
          <w:sz w:val="28"/>
          <w:szCs w:val="28"/>
        </w:rPr>
        <w:t xml:space="preserve"> for </w:t>
      </w:r>
      <w:r w:rsidR="00376EEA">
        <w:rPr>
          <w:rFonts w:ascii="Century Gothic" w:hAnsi="Century Gothic" w:cs="Tahoma"/>
          <w:color w:val="290076"/>
          <w:sz w:val="28"/>
          <w:szCs w:val="28"/>
        </w:rPr>
        <w:t>s</w:t>
      </w:r>
      <w:r>
        <w:rPr>
          <w:rFonts w:ascii="Century Gothic" w:hAnsi="Century Gothic" w:cs="Tahoma"/>
          <w:color w:val="290076"/>
          <w:sz w:val="28"/>
          <w:szCs w:val="28"/>
        </w:rPr>
        <w:t>ubcontracting</w:t>
      </w:r>
      <w:bookmarkEnd w:id="17"/>
      <w:r w:rsidR="009F2E46" w:rsidRPr="001E1B44">
        <w:rPr>
          <w:rFonts w:ascii="Century Gothic" w:hAnsi="Century Gothic" w:cs="Tahoma"/>
          <w:color w:val="290076"/>
          <w:sz w:val="28"/>
          <w:szCs w:val="28"/>
        </w:rPr>
        <w:t xml:space="preserve"> </w:t>
      </w:r>
    </w:p>
    <w:p w14:paraId="4CE23AE9" w14:textId="77777777" w:rsidR="0009613E" w:rsidRPr="0009613E" w:rsidRDefault="0009613E" w:rsidP="0009613E">
      <w:pPr>
        <w:jc w:val="both"/>
        <w:rPr>
          <w:rFonts w:ascii="Century Gothic" w:hAnsi="Century Gothic"/>
        </w:rPr>
      </w:pPr>
      <w:r>
        <w:rPr>
          <w:rFonts w:ascii="Century Gothic" w:hAnsi="Century Gothic"/>
        </w:rPr>
        <w:t xml:space="preserve">WBTC’s </w:t>
      </w:r>
      <w:r w:rsidRPr="0009613E">
        <w:rPr>
          <w:rFonts w:ascii="Century Gothic" w:hAnsi="Century Gothic"/>
        </w:rPr>
        <w:t>approach to subcontracting is to extend the accessibility of provision for learners and therefore a skilled workforce for employers.</w:t>
      </w:r>
    </w:p>
    <w:p w14:paraId="1DFAE3AC" w14:textId="77777777" w:rsidR="00F975C1" w:rsidRPr="00F975C1" w:rsidRDefault="0009613E" w:rsidP="0009613E">
      <w:pPr>
        <w:jc w:val="both"/>
        <w:rPr>
          <w:rFonts w:ascii="Century Gothic" w:hAnsi="Century Gothic"/>
        </w:rPr>
      </w:pPr>
      <w:r>
        <w:rPr>
          <w:rFonts w:ascii="Century Gothic" w:hAnsi="Century Gothic"/>
        </w:rPr>
        <w:t>WBTC</w:t>
      </w:r>
      <w:r w:rsidRPr="0009613E">
        <w:rPr>
          <w:rFonts w:ascii="Century Gothic" w:hAnsi="Century Gothic"/>
        </w:rPr>
        <w:t xml:space="preserve"> expects the same standards of its subcontractors a</w:t>
      </w:r>
      <w:r>
        <w:rPr>
          <w:rFonts w:ascii="Century Gothic" w:hAnsi="Century Gothic"/>
        </w:rPr>
        <w:t>s it does of its own provision</w:t>
      </w:r>
      <w:r w:rsidR="008D0312">
        <w:rPr>
          <w:rFonts w:ascii="Century Gothic" w:hAnsi="Century Gothic"/>
        </w:rPr>
        <w:t xml:space="preserve">, a </w:t>
      </w:r>
      <w:proofErr w:type="gramStart"/>
      <w:r w:rsidR="008D0312">
        <w:rPr>
          <w:rFonts w:ascii="Century Gothic" w:hAnsi="Century Gothic"/>
        </w:rPr>
        <w:t>high quality</w:t>
      </w:r>
      <w:proofErr w:type="gramEnd"/>
      <w:r w:rsidR="008D0312">
        <w:rPr>
          <w:rFonts w:ascii="Century Gothic" w:hAnsi="Century Gothic"/>
        </w:rPr>
        <w:t xml:space="preserve"> learning experience.</w:t>
      </w:r>
      <w:r w:rsidRPr="0009613E">
        <w:rPr>
          <w:rFonts w:ascii="Century Gothic" w:hAnsi="Century Gothic"/>
        </w:rPr>
        <w:t xml:space="preserve"> </w:t>
      </w:r>
      <w:r>
        <w:rPr>
          <w:rFonts w:ascii="Century Gothic" w:hAnsi="Century Gothic"/>
        </w:rPr>
        <w:t>WBTC</w:t>
      </w:r>
      <w:r w:rsidRPr="0009613E">
        <w:rPr>
          <w:rFonts w:ascii="Century Gothic" w:hAnsi="Century Gothic"/>
        </w:rPr>
        <w:t xml:space="preserve"> subcontracts to extend the breadth of its learning offer, broadening the range of sector subject areas or business sectors that can be covered. More specifically, </w:t>
      </w:r>
      <w:r>
        <w:rPr>
          <w:rFonts w:ascii="Century Gothic" w:hAnsi="Century Gothic"/>
        </w:rPr>
        <w:t>WBTC</w:t>
      </w:r>
      <w:r w:rsidR="008D0312">
        <w:rPr>
          <w:rFonts w:ascii="Century Gothic" w:hAnsi="Century Gothic"/>
        </w:rPr>
        <w:t xml:space="preserve"> </w:t>
      </w:r>
      <w:r w:rsidRPr="0009613E">
        <w:rPr>
          <w:rFonts w:ascii="Century Gothic" w:hAnsi="Century Gothic"/>
        </w:rPr>
        <w:t>awards subcontracts on the basis that subcontracting will:</w:t>
      </w:r>
      <w:r w:rsidR="00F975C1" w:rsidRPr="00F975C1">
        <w:rPr>
          <w:rFonts w:ascii="Century Gothic" w:hAnsi="Century Gothic"/>
        </w:rPr>
        <w:t xml:space="preserve"> </w:t>
      </w:r>
    </w:p>
    <w:p w14:paraId="3CFD0DF5"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lastRenderedPageBreak/>
        <w:t>Enhance the opportunities available to learners</w:t>
      </w:r>
    </w:p>
    <w:p w14:paraId="530D4CFD"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 xml:space="preserve">Fills gaps in niche or expert provision, or provide better access to training facilities </w:t>
      </w:r>
    </w:p>
    <w:p w14:paraId="404F6FB6"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 xml:space="preserve">Support better geographical access for learners  </w:t>
      </w:r>
    </w:p>
    <w:p w14:paraId="427D5EE0"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Offer an entry point for disadvantaged groups; or give consideration of the impact on individuals with shared protected characteristics</w:t>
      </w:r>
    </w:p>
    <w:p w14:paraId="5EAD9555" w14:textId="77777777" w:rsidR="00F975C1" w:rsidRPr="00F975C1" w:rsidRDefault="00F975C1" w:rsidP="00F975C1">
      <w:pPr>
        <w:pStyle w:val="ListParagraph"/>
        <w:numPr>
          <w:ilvl w:val="0"/>
          <w:numId w:val="30"/>
        </w:numPr>
        <w:jc w:val="both"/>
        <w:rPr>
          <w:rFonts w:ascii="Century Gothic" w:hAnsi="Century Gothic"/>
        </w:rPr>
      </w:pPr>
      <w:r w:rsidRPr="00F975C1">
        <w:rPr>
          <w:rFonts w:ascii="Century Gothic" w:hAnsi="Century Gothic"/>
        </w:rPr>
        <w:t xml:space="preserve">Meet the needs of employers  </w:t>
      </w:r>
    </w:p>
    <w:p w14:paraId="4446D58A" w14:textId="77777777" w:rsidR="00F975C1" w:rsidRPr="00F975C1" w:rsidRDefault="00F975C1" w:rsidP="00F975C1">
      <w:pPr>
        <w:jc w:val="both"/>
        <w:rPr>
          <w:rFonts w:ascii="Century Gothic" w:hAnsi="Century Gothic"/>
        </w:rPr>
      </w:pPr>
      <w:r w:rsidRPr="00F975C1">
        <w:rPr>
          <w:rFonts w:ascii="Century Gothic" w:hAnsi="Century Gothic"/>
        </w:rPr>
        <w:t xml:space="preserve">In </w:t>
      </w:r>
      <w:proofErr w:type="gramStart"/>
      <w:r w:rsidRPr="00F975C1">
        <w:rPr>
          <w:rFonts w:ascii="Century Gothic" w:hAnsi="Century Gothic"/>
        </w:rPr>
        <w:t>addition</w:t>
      </w:r>
      <w:proofErr w:type="gramEnd"/>
      <w:r w:rsidR="008D0312">
        <w:rPr>
          <w:rFonts w:ascii="Century Gothic" w:hAnsi="Century Gothic"/>
        </w:rPr>
        <w:t xml:space="preserve"> </w:t>
      </w:r>
      <w:r w:rsidR="003A06B7">
        <w:rPr>
          <w:rFonts w:ascii="Century Gothic" w:hAnsi="Century Gothic"/>
        </w:rPr>
        <w:t>that</w:t>
      </w:r>
      <w:r w:rsidR="008D0312">
        <w:rPr>
          <w:rFonts w:ascii="Century Gothic" w:hAnsi="Century Gothic"/>
        </w:rPr>
        <w:t xml:space="preserve"> subcontracting</w:t>
      </w:r>
      <w:r w:rsidRPr="00F975C1">
        <w:rPr>
          <w:rFonts w:ascii="Century Gothic" w:hAnsi="Century Gothic"/>
        </w:rPr>
        <w:t xml:space="preserve">; </w:t>
      </w:r>
    </w:p>
    <w:p w14:paraId="6C7AEC0B" w14:textId="77777777" w:rsidR="00F975C1" w:rsidRPr="00F975C1" w:rsidRDefault="00F975C1" w:rsidP="00F975C1">
      <w:pPr>
        <w:pStyle w:val="ListParagraph"/>
        <w:numPr>
          <w:ilvl w:val="0"/>
          <w:numId w:val="28"/>
        </w:numPr>
        <w:jc w:val="both"/>
        <w:rPr>
          <w:rFonts w:ascii="Century Gothic" w:hAnsi="Century Gothic"/>
        </w:rPr>
      </w:pPr>
      <w:r w:rsidRPr="00F975C1">
        <w:rPr>
          <w:rFonts w:ascii="Century Gothic" w:hAnsi="Century Gothic"/>
        </w:rPr>
        <w:t xml:space="preserve">Responds to the </w:t>
      </w:r>
      <w:r w:rsidR="008D0312">
        <w:rPr>
          <w:rFonts w:ascii="Century Gothic" w:hAnsi="Century Gothic"/>
        </w:rPr>
        <w:t>employer</w:t>
      </w:r>
      <w:r w:rsidRPr="00F975C1">
        <w:rPr>
          <w:rFonts w:ascii="Century Gothic" w:hAnsi="Century Gothic"/>
        </w:rPr>
        <w:t xml:space="preserve">’s requirement and delivers quality outputs </w:t>
      </w:r>
      <w:r w:rsidR="008D0312">
        <w:rPr>
          <w:rFonts w:ascii="Century Gothic" w:hAnsi="Century Gothic"/>
        </w:rPr>
        <w:t>as</w:t>
      </w:r>
      <w:r w:rsidRPr="00F975C1">
        <w:rPr>
          <w:rFonts w:ascii="Century Gothic" w:hAnsi="Century Gothic"/>
        </w:rPr>
        <w:t xml:space="preserve"> is necessary to: engage external expertis</w:t>
      </w:r>
      <w:r w:rsidR="008D0312">
        <w:rPr>
          <w:rFonts w:ascii="Century Gothic" w:hAnsi="Century Gothic"/>
        </w:rPr>
        <w:t xml:space="preserve">e, provide geographical access, </w:t>
      </w:r>
      <w:r w:rsidR="008D0312" w:rsidRPr="00F975C1">
        <w:rPr>
          <w:rFonts w:ascii="Century Gothic" w:hAnsi="Century Gothic"/>
        </w:rPr>
        <w:t>and provides</w:t>
      </w:r>
      <w:r w:rsidRPr="00F975C1">
        <w:rPr>
          <w:rFonts w:ascii="Century Gothic" w:hAnsi="Century Gothic"/>
        </w:rPr>
        <w:t xml:space="preserve"> the best return on the funding invested and equity for all engaged in the programme.</w:t>
      </w:r>
    </w:p>
    <w:p w14:paraId="42BE44D4" w14:textId="77777777" w:rsidR="00F975C1" w:rsidRPr="00F975C1" w:rsidRDefault="00F975C1" w:rsidP="00F975C1">
      <w:pPr>
        <w:pStyle w:val="ListParagraph"/>
        <w:numPr>
          <w:ilvl w:val="0"/>
          <w:numId w:val="28"/>
        </w:numPr>
        <w:jc w:val="both"/>
        <w:rPr>
          <w:rFonts w:ascii="Century Gothic" w:hAnsi="Century Gothic"/>
        </w:rPr>
      </w:pPr>
      <w:r w:rsidRPr="00F975C1">
        <w:rPr>
          <w:rFonts w:ascii="Century Gothic" w:hAnsi="Century Gothic"/>
        </w:rPr>
        <w:t>Demonstrates the strategic benefit of subcontracting to an external organisation, meets priority areas of need indicated by external representatives such as; Government Agencies, LEPs or other appropriate interests, including the</w:t>
      </w:r>
      <w:r w:rsidR="008D0312">
        <w:rPr>
          <w:rFonts w:ascii="Century Gothic" w:hAnsi="Century Gothic"/>
        </w:rPr>
        <w:t xml:space="preserve"> employers</w:t>
      </w:r>
      <w:r w:rsidRPr="00F975C1">
        <w:rPr>
          <w:rFonts w:ascii="Century Gothic" w:hAnsi="Century Gothic"/>
        </w:rPr>
        <w:t>.</w:t>
      </w:r>
    </w:p>
    <w:p w14:paraId="186342F9" w14:textId="77777777" w:rsidR="003A06B7" w:rsidRDefault="00F975C1" w:rsidP="00F975C1">
      <w:pPr>
        <w:pStyle w:val="ListParagraph"/>
        <w:numPr>
          <w:ilvl w:val="0"/>
          <w:numId w:val="28"/>
        </w:numPr>
        <w:jc w:val="both"/>
        <w:rPr>
          <w:rFonts w:ascii="Century Gothic" w:hAnsi="Century Gothic"/>
        </w:rPr>
      </w:pPr>
      <w:r w:rsidRPr="00F975C1">
        <w:rPr>
          <w:rFonts w:ascii="Century Gothic" w:hAnsi="Century Gothic"/>
        </w:rPr>
        <w:t xml:space="preserve">Compliments, rather than displaces, our own provision and the subcontracting organisation has a proven track record in the delivery of </w:t>
      </w:r>
      <w:proofErr w:type="gramStart"/>
      <w:r w:rsidRPr="00F975C1">
        <w:rPr>
          <w:rFonts w:ascii="Century Gothic" w:hAnsi="Century Gothic"/>
        </w:rPr>
        <w:t>publicly-funded</w:t>
      </w:r>
      <w:proofErr w:type="gramEnd"/>
      <w:r w:rsidRPr="00F975C1">
        <w:rPr>
          <w:rFonts w:ascii="Century Gothic" w:hAnsi="Century Gothic"/>
        </w:rPr>
        <w:t xml:space="preserve"> training provision.</w:t>
      </w:r>
    </w:p>
    <w:p w14:paraId="330D08A6" w14:textId="77777777" w:rsidR="009F2E46" w:rsidRPr="001E1B44" w:rsidRDefault="00E946D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9309393"/>
      <w:r>
        <w:rPr>
          <w:rFonts w:ascii="Century Gothic" w:hAnsi="Century Gothic" w:cs="Tahoma"/>
          <w:color w:val="290076"/>
          <w:sz w:val="28"/>
          <w:szCs w:val="28"/>
        </w:rPr>
        <w:t xml:space="preserve">Retained </w:t>
      </w:r>
      <w:r w:rsidR="00F975C1">
        <w:rPr>
          <w:rFonts w:ascii="Century Gothic" w:hAnsi="Century Gothic" w:cs="Tahoma"/>
          <w:color w:val="290076"/>
          <w:sz w:val="28"/>
          <w:szCs w:val="28"/>
        </w:rPr>
        <w:t>Funding</w:t>
      </w:r>
      <w:bookmarkEnd w:id="18"/>
    </w:p>
    <w:p w14:paraId="16119901" w14:textId="77777777" w:rsidR="00E946DD" w:rsidRDefault="00E946DD" w:rsidP="008223F4">
      <w:pPr>
        <w:jc w:val="both"/>
        <w:rPr>
          <w:rFonts w:ascii="Century Gothic" w:hAnsi="Century Gothic"/>
        </w:rPr>
      </w:pPr>
      <w:r w:rsidRPr="00F975C1">
        <w:rPr>
          <w:rFonts w:ascii="Century Gothic" w:hAnsi="Century Gothic"/>
        </w:rPr>
        <w:t xml:space="preserve">WBTC is committed to ensuring that the maximum amount of funding possible is passed on to our subcontractors to enable the best possible learning experience to the learner. The </w:t>
      </w:r>
      <w:r>
        <w:rPr>
          <w:rFonts w:ascii="Century Gothic" w:hAnsi="Century Gothic"/>
        </w:rPr>
        <w:t>value</w:t>
      </w:r>
      <w:r w:rsidRPr="00F975C1">
        <w:rPr>
          <w:rFonts w:ascii="Century Gothic" w:hAnsi="Century Gothic"/>
        </w:rPr>
        <w:t xml:space="preserve"> of funding retained by WBTC is founded upon the basic requirement to cover the costs associated with the management of subcontracted provision and the requirement of the social and economic responsibility of a </w:t>
      </w:r>
      <w:proofErr w:type="gramStart"/>
      <w:r w:rsidRPr="00F975C1">
        <w:rPr>
          <w:rFonts w:ascii="Century Gothic" w:hAnsi="Century Gothic"/>
        </w:rPr>
        <w:t>not for profit</w:t>
      </w:r>
      <w:proofErr w:type="gramEnd"/>
      <w:r w:rsidRPr="00F975C1">
        <w:rPr>
          <w:rFonts w:ascii="Century Gothic" w:hAnsi="Century Gothic"/>
        </w:rPr>
        <w:t xml:space="preserve"> organisation to meet indirect on costs that maintain the sustainability of the organisation</w:t>
      </w:r>
      <w:r w:rsidR="002A7AE7">
        <w:rPr>
          <w:rFonts w:ascii="Century Gothic" w:hAnsi="Century Gothic"/>
        </w:rPr>
        <w:t>.</w:t>
      </w:r>
    </w:p>
    <w:p w14:paraId="3C2786E4" w14:textId="77777777" w:rsidR="008223F4" w:rsidRDefault="002A7AE7" w:rsidP="008223F4">
      <w:pPr>
        <w:jc w:val="both"/>
        <w:rPr>
          <w:rFonts w:ascii="Century Gothic" w:hAnsi="Century Gothic"/>
        </w:rPr>
      </w:pPr>
      <w:r>
        <w:rPr>
          <w:rFonts w:ascii="Century Gothic" w:hAnsi="Century Gothic"/>
        </w:rPr>
        <w:t xml:space="preserve">WBTC </w:t>
      </w:r>
      <w:r w:rsidRPr="002A7AE7">
        <w:rPr>
          <w:rFonts w:ascii="Century Gothic" w:hAnsi="Century Gothic"/>
        </w:rPr>
        <w:t>will typically retain 10% to 20% of all funding drawn down against the provision to be delivered. This figure represents the total cost that</w:t>
      </w:r>
      <w:r>
        <w:rPr>
          <w:rFonts w:ascii="Century Gothic" w:hAnsi="Century Gothic"/>
        </w:rPr>
        <w:t xml:space="preserve"> WBTC </w:t>
      </w:r>
      <w:r w:rsidRPr="002A7AE7">
        <w:rPr>
          <w:rFonts w:ascii="Century Gothic" w:hAnsi="Century Gothic"/>
        </w:rPr>
        <w:t xml:space="preserve">incurs in effectively identifying, selecting and managing all Delivery Partners provision. This will only be based on eligible costs and includes the amount of administration and quality monitoring activities and any other support activities that </w:t>
      </w:r>
      <w:r>
        <w:rPr>
          <w:rFonts w:ascii="Century Gothic" w:hAnsi="Century Gothic"/>
        </w:rPr>
        <w:t>WBTC</w:t>
      </w:r>
      <w:r w:rsidRPr="002A7AE7">
        <w:rPr>
          <w:rFonts w:ascii="Century Gothic" w:hAnsi="Century Gothic"/>
        </w:rPr>
        <w:t xml:space="preserve"> would attach to the risk rating of the Delivery Partner.</w:t>
      </w:r>
      <w:r>
        <w:rPr>
          <w:rFonts w:ascii="Century Gothic" w:hAnsi="Century Gothic"/>
        </w:rPr>
        <w:t xml:space="preserve"> </w:t>
      </w:r>
      <w:r w:rsidR="008223F4" w:rsidRPr="008223F4">
        <w:rPr>
          <w:rFonts w:ascii="Century Gothic" w:hAnsi="Century Gothic"/>
        </w:rPr>
        <w:t>The support given to each partner may include</w:t>
      </w:r>
      <w:r w:rsidR="00E946DD">
        <w:rPr>
          <w:rFonts w:ascii="Century Gothic" w:hAnsi="Century Gothic"/>
        </w:rPr>
        <w:t xml:space="preserve"> but is not limited to</w:t>
      </w:r>
      <w:r w:rsidR="008223F4" w:rsidRPr="008223F4">
        <w:rPr>
          <w:rFonts w:ascii="Century Gothic" w:hAnsi="Century Gothic"/>
        </w:rPr>
        <w:t xml:space="preserve">: </w:t>
      </w:r>
    </w:p>
    <w:p w14:paraId="536EB643" w14:textId="77777777" w:rsidR="008223F4" w:rsidRPr="008223F4" w:rsidRDefault="008223F4" w:rsidP="008223F4">
      <w:pPr>
        <w:pStyle w:val="NoSpacing"/>
        <w:numPr>
          <w:ilvl w:val="0"/>
          <w:numId w:val="43"/>
        </w:numPr>
        <w:rPr>
          <w:rFonts w:ascii="Century Gothic" w:hAnsi="Century Gothic"/>
        </w:rPr>
      </w:pPr>
      <w:r w:rsidRPr="008223F4">
        <w:rPr>
          <w:rFonts w:ascii="Century Gothic" w:hAnsi="Century Gothic"/>
        </w:rPr>
        <w:t>Advice and guidance at the pre-contract stage</w:t>
      </w:r>
    </w:p>
    <w:p w14:paraId="59531596" w14:textId="77777777" w:rsidR="008223F4" w:rsidRPr="008223F4" w:rsidRDefault="008223F4" w:rsidP="008223F4">
      <w:pPr>
        <w:pStyle w:val="NoSpacing"/>
        <w:numPr>
          <w:ilvl w:val="0"/>
          <w:numId w:val="43"/>
        </w:numPr>
        <w:rPr>
          <w:rFonts w:ascii="Century Gothic" w:hAnsi="Century Gothic"/>
        </w:rPr>
      </w:pPr>
      <w:r w:rsidRPr="008223F4">
        <w:rPr>
          <w:rFonts w:ascii="Century Gothic" w:hAnsi="Century Gothic"/>
        </w:rPr>
        <w:t>Site visits</w:t>
      </w:r>
    </w:p>
    <w:p w14:paraId="636FEEE3" w14:textId="77777777" w:rsidR="008223F4" w:rsidRPr="008223F4" w:rsidRDefault="008223F4" w:rsidP="008223F4">
      <w:pPr>
        <w:pStyle w:val="NoSpacing"/>
        <w:numPr>
          <w:ilvl w:val="0"/>
          <w:numId w:val="43"/>
        </w:numPr>
        <w:rPr>
          <w:rFonts w:ascii="Century Gothic" w:hAnsi="Century Gothic"/>
        </w:rPr>
      </w:pPr>
      <w:r w:rsidRPr="008223F4">
        <w:rPr>
          <w:rFonts w:ascii="Century Gothic" w:hAnsi="Century Gothic"/>
        </w:rPr>
        <w:t>Observations of teaching, learning and assessment</w:t>
      </w:r>
    </w:p>
    <w:p w14:paraId="582C5AAC"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Tutor support</w:t>
      </w:r>
    </w:p>
    <w:p w14:paraId="389F5B04"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Observation of IAG, enrolment and examination session</w:t>
      </w:r>
    </w:p>
    <w:p w14:paraId="54737CD2"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Participation in IAG and enrolment sessions</w:t>
      </w:r>
    </w:p>
    <w:p w14:paraId="6D88725B"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More rigorous verification</w:t>
      </w:r>
    </w:p>
    <w:p w14:paraId="269806BE"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Support with funding rules compliance</w:t>
      </w:r>
    </w:p>
    <w:p w14:paraId="31478044"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Regular financial reports to support invoicing</w:t>
      </w:r>
    </w:p>
    <w:p w14:paraId="1F1070FE"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Ongoing support to address any areas for improvement</w:t>
      </w:r>
    </w:p>
    <w:p w14:paraId="54CB9444" w14:textId="77777777" w:rsidR="008223F4" w:rsidRPr="008223F4" w:rsidRDefault="008223F4" w:rsidP="008223F4">
      <w:pPr>
        <w:pStyle w:val="NoSpacing"/>
        <w:numPr>
          <w:ilvl w:val="0"/>
          <w:numId w:val="42"/>
        </w:numPr>
        <w:rPr>
          <w:rFonts w:ascii="Century Gothic" w:hAnsi="Century Gothic"/>
        </w:rPr>
      </w:pPr>
      <w:r w:rsidRPr="008223F4">
        <w:rPr>
          <w:rFonts w:ascii="Century Gothic" w:hAnsi="Century Gothic"/>
        </w:rPr>
        <w:t>In depth check of evidence submitted and regular feedback on issues identified</w:t>
      </w:r>
    </w:p>
    <w:p w14:paraId="2103E64C" w14:textId="77777777" w:rsidR="008223F4" w:rsidRDefault="008223F4" w:rsidP="008223F4">
      <w:pPr>
        <w:pStyle w:val="NoSpacing"/>
        <w:numPr>
          <w:ilvl w:val="0"/>
          <w:numId w:val="42"/>
        </w:numPr>
        <w:rPr>
          <w:rFonts w:ascii="Century Gothic" w:hAnsi="Century Gothic"/>
        </w:rPr>
      </w:pPr>
      <w:r w:rsidRPr="008223F4">
        <w:rPr>
          <w:rFonts w:ascii="Century Gothic" w:hAnsi="Century Gothic"/>
        </w:rPr>
        <w:t>Input of enrolment documentation and ILR processing</w:t>
      </w:r>
    </w:p>
    <w:p w14:paraId="2DA6B32C" w14:textId="77777777" w:rsidR="008223F4" w:rsidRDefault="008223F4" w:rsidP="008223F4">
      <w:pPr>
        <w:pStyle w:val="NoSpacing"/>
      </w:pPr>
    </w:p>
    <w:p w14:paraId="6F347659" w14:textId="77777777" w:rsidR="002A7AE7" w:rsidRDefault="008223F4" w:rsidP="00F975C1">
      <w:pPr>
        <w:jc w:val="both"/>
        <w:rPr>
          <w:rFonts w:ascii="Century Gothic" w:hAnsi="Century Gothic"/>
        </w:rPr>
      </w:pPr>
      <w:r>
        <w:rPr>
          <w:rFonts w:ascii="Century Gothic" w:hAnsi="Century Gothic"/>
        </w:rPr>
        <w:lastRenderedPageBreak/>
        <w:t>WBTC</w:t>
      </w:r>
      <w:r w:rsidRPr="008223F4">
        <w:rPr>
          <w:rFonts w:ascii="Century Gothic" w:hAnsi="Century Gothic"/>
        </w:rPr>
        <w:t xml:space="preserve"> may also retain funding to cover the cost of any funded activity that it might undertake on behalf of the partner.</w:t>
      </w:r>
    </w:p>
    <w:p w14:paraId="4AAD2C97" w14:textId="77777777" w:rsidR="00F975C1" w:rsidRPr="00F975C1" w:rsidRDefault="00F975C1" w:rsidP="00F975C1">
      <w:pPr>
        <w:jc w:val="both"/>
        <w:rPr>
          <w:rFonts w:ascii="Century Gothic" w:hAnsi="Century Gothic"/>
        </w:rPr>
      </w:pPr>
      <w:r w:rsidRPr="00F975C1">
        <w:rPr>
          <w:rFonts w:ascii="Century Gothic" w:hAnsi="Century Gothic" w:cs="Tahoma"/>
        </w:rPr>
        <w:t xml:space="preserve">The Fees and Charges Policy is shared and reviewed with all current and potential subcontractors at the beginning of any new or renewed contract.  </w:t>
      </w:r>
    </w:p>
    <w:p w14:paraId="70948B39" w14:textId="77777777" w:rsidR="00F975C1" w:rsidRDefault="00F975C1" w:rsidP="00F975C1">
      <w:pPr>
        <w:jc w:val="both"/>
        <w:rPr>
          <w:rFonts w:ascii="Century Gothic" w:hAnsi="Century Gothic"/>
        </w:rPr>
      </w:pPr>
      <w:r w:rsidRPr="00F975C1">
        <w:rPr>
          <w:rFonts w:ascii="Century Gothic" w:hAnsi="Century Gothic"/>
        </w:rPr>
        <w:t>WBTC will maintain transparency in the Supply Chain Funding charge and monitor the cost v</w:t>
      </w:r>
      <w:r w:rsidR="00023D05">
        <w:rPr>
          <w:rFonts w:ascii="Century Gothic" w:hAnsi="Century Gothic"/>
        </w:rPr>
        <w:t>s</w:t>
      </w:r>
      <w:r w:rsidRPr="00F975C1">
        <w:rPr>
          <w:rFonts w:ascii="Century Gothic" w:hAnsi="Century Gothic"/>
        </w:rPr>
        <w:t xml:space="preserve"> impact of the subcontracting approach to inform on the equity, economy, benefit and impact of the arrangement.</w:t>
      </w:r>
    </w:p>
    <w:p w14:paraId="0DADF8E7" w14:textId="77777777" w:rsidR="00BF3305" w:rsidRPr="00BF3305" w:rsidRDefault="00BF3305" w:rsidP="00BF3305">
      <w:pPr>
        <w:pStyle w:val="NoSpacing"/>
        <w:jc w:val="both"/>
        <w:rPr>
          <w:rFonts w:ascii="Century Gothic" w:hAnsi="Century Gothic"/>
        </w:rPr>
      </w:pPr>
      <w:r w:rsidRPr="00BF3305">
        <w:rPr>
          <w:rFonts w:ascii="Century Gothic" w:hAnsi="Century Gothic"/>
        </w:rPr>
        <w:t xml:space="preserve">Employers receive a pricing schedule from WBTC, which details the services provided to the subcontractor, the associated costs and how these contribute to delivering high quality learning.  </w:t>
      </w:r>
    </w:p>
    <w:p w14:paraId="66327EAC" w14:textId="77777777" w:rsidR="00BF3305" w:rsidRPr="00BF3305" w:rsidRDefault="00BF3305" w:rsidP="00BF3305">
      <w:pPr>
        <w:pStyle w:val="NoSpacing"/>
        <w:jc w:val="both"/>
        <w:rPr>
          <w:rFonts w:ascii="Century Gothic" w:hAnsi="Century Gothic"/>
        </w:rPr>
      </w:pPr>
    </w:p>
    <w:p w14:paraId="3A3274A3" w14:textId="77777777" w:rsidR="00BF3305" w:rsidRPr="00BF3305" w:rsidRDefault="00BF3305" w:rsidP="00BF3305">
      <w:pPr>
        <w:jc w:val="both"/>
        <w:rPr>
          <w:rFonts w:ascii="Century Gothic" w:hAnsi="Century Gothic"/>
        </w:rPr>
      </w:pPr>
      <w:r w:rsidRPr="00BF3305">
        <w:rPr>
          <w:rFonts w:ascii="Century Gothic" w:hAnsi="Century Gothic"/>
        </w:rPr>
        <w:t xml:space="preserve">Subcontractors are paid monthly, mirroring how WBTC is paid (OPP’s and outcome payments).  </w:t>
      </w:r>
    </w:p>
    <w:p w14:paraId="3CB15720" w14:textId="77777777" w:rsidR="00BF3305" w:rsidRPr="00BF3305" w:rsidRDefault="00BF3305" w:rsidP="00BF3305">
      <w:pPr>
        <w:jc w:val="both"/>
        <w:rPr>
          <w:rFonts w:ascii="Century Gothic" w:hAnsi="Century Gothic"/>
        </w:rPr>
      </w:pPr>
      <w:r w:rsidRPr="00BF3305">
        <w:rPr>
          <w:rFonts w:ascii="Century Gothic" w:hAnsi="Century Gothic"/>
        </w:rPr>
        <w:t>Suppliers are paid either monthly or termly, as detailed on each individual apprentice’s Delivery Schedule 3 for the relevant supplier.</w:t>
      </w:r>
    </w:p>
    <w:p w14:paraId="7A682C28" w14:textId="77777777" w:rsidR="00133690" w:rsidRDefault="00133690" w:rsidP="00133690">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49309394"/>
      <w:r>
        <w:rPr>
          <w:rFonts w:ascii="Century Gothic" w:hAnsi="Century Gothic" w:cs="Tahoma"/>
          <w:color w:val="290076"/>
          <w:sz w:val="28"/>
          <w:szCs w:val="28"/>
        </w:rPr>
        <w:t>Management Rates</w:t>
      </w:r>
      <w:bookmarkEnd w:id="19"/>
    </w:p>
    <w:p w14:paraId="0972E9F4" w14:textId="77777777" w:rsidR="00133690" w:rsidRDefault="00133690" w:rsidP="00133690">
      <w:pPr>
        <w:rPr>
          <w:rFonts w:ascii="Century Gothic" w:hAnsi="Century Gothic"/>
        </w:rPr>
      </w:pPr>
      <w:r w:rsidRPr="00133690">
        <w:rPr>
          <w:rFonts w:ascii="Century Gothic" w:hAnsi="Century Gothic"/>
        </w:rPr>
        <w:t xml:space="preserve">The </w:t>
      </w:r>
      <w:r>
        <w:rPr>
          <w:rFonts w:ascii="Century Gothic" w:hAnsi="Century Gothic"/>
        </w:rPr>
        <w:t>funding retained by WBTC is allocated as follows:</w:t>
      </w:r>
    </w:p>
    <w:p w14:paraId="1885ED04" w14:textId="77777777" w:rsidR="00133690" w:rsidRDefault="00133690" w:rsidP="00133690">
      <w:pPr>
        <w:pStyle w:val="ListParagraph"/>
        <w:numPr>
          <w:ilvl w:val="0"/>
          <w:numId w:val="44"/>
        </w:numPr>
        <w:rPr>
          <w:rFonts w:ascii="Century Gothic" w:hAnsi="Century Gothic"/>
        </w:rPr>
      </w:pPr>
      <w:r>
        <w:rPr>
          <w:rFonts w:ascii="Century Gothic" w:hAnsi="Century Gothic"/>
        </w:rPr>
        <w:t>Quality Assurance of Delivery partner (4.5 to 6%)</w:t>
      </w:r>
    </w:p>
    <w:p w14:paraId="64E26ED8" w14:textId="77777777" w:rsidR="00133690" w:rsidRDefault="00133690" w:rsidP="00133690">
      <w:pPr>
        <w:pStyle w:val="ListParagraph"/>
        <w:numPr>
          <w:ilvl w:val="0"/>
          <w:numId w:val="44"/>
        </w:numPr>
        <w:rPr>
          <w:rFonts w:ascii="Century Gothic" w:hAnsi="Century Gothic"/>
        </w:rPr>
      </w:pPr>
      <w:r>
        <w:rPr>
          <w:rFonts w:ascii="Century Gothic" w:hAnsi="Century Gothic"/>
        </w:rPr>
        <w:t>Administration and Compliance (4.5 to 6%)</w:t>
      </w:r>
    </w:p>
    <w:p w14:paraId="5DC33DBE" w14:textId="77777777" w:rsidR="00267195" w:rsidRPr="00267195" w:rsidRDefault="00FA19B0" w:rsidP="00267195">
      <w:pPr>
        <w:pStyle w:val="ListParagraph"/>
        <w:numPr>
          <w:ilvl w:val="0"/>
          <w:numId w:val="44"/>
        </w:numPr>
        <w:rPr>
          <w:rFonts w:ascii="Century Gothic" w:hAnsi="Century Gothic"/>
        </w:rPr>
      </w:pPr>
      <w:r>
        <w:rPr>
          <w:rFonts w:ascii="Century Gothic" w:hAnsi="Century Gothic"/>
        </w:rPr>
        <w:t>Other support activities</w:t>
      </w:r>
      <w:r w:rsidR="00267195">
        <w:rPr>
          <w:rFonts w:ascii="Century Gothic" w:hAnsi="Century Gothic"/>
        </w:rPr>
        <w:t xml:space="preserve"> (6</w:t>
      </w:r>
      <w:r w:rsidR="00E03897">
        <w:rPr>
          <w:rFonts w:ascii="Century Gothic" w:hAnsi="Century Gothic"/>
        </w:rPr>
        <w:t xml:space="preserve"> to </w:t>
      </w:r>
      <w:r w:rsidR="00267195">
        <w:rPr>
          <w:rFonts w:ascii="Century Gothic" w:hAnsi="Century Gothic"/>
        </w:rPr>
        <w:t>9%)</w:t>
      </w:r>
    </w:p>
    <w:p w14:paraId="262483BB" w14:textId="77777777" w:rsidR="00267195" w:rsidRDefault="00267195" w:rsidP="00267195">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0" w:name="_Toc149309395"/>
      <w:r>
        <w:rPr>
          <w:rFonts w:ascii="Century Gothic" w:hAnsi="Century Gothic" w:cs="Tahoma"/>
          <w:color w:val="290076"/>
          <w:sz w:val="28"/>
          <w:szCs w:val="28"/>
        </w:rPr>
        <w:t>Quality Assurance &amp; Contract Management</w:t>
      </w:r>
      <w:bookmarkEnd w:id="20"/>
    </w:p>
    <w:p w14:paraId="61DE7160" w14:textId="77777777" w:rsidR="00267195" w:rsidRPr="00267195" w:rsidRDefault="00267195" w:rsidP="00267195">
      <w:pPr>
        <w:rPr>
          <w:rFonts w:ascii="Century Gothic" w:hAnsi="Century Gothic"/>
        </w:rPr>
      </w:pPr>
      <w:r w:rsidRPr="00267195">
        <w:rPr>
          <w:rFonts w:ascii="Century Gothic" w:hAnsi="Century Gothic"/>
        </w:rPr>
        <w:t>A</w:t>
      </w:r>
      <w:r>
        <w:rPr>
          <w:rFonts w:ascii="Century Gothic" w:hAnsi="Century Gothic"/>
        </w:rPr>
        <w:t>n</w:t>
      </w:r>
      <w:r w:rsidRPr="00267195">
        <w:rPr>
          <w:rFonts w:ascii="Century Gothic" w:hAnsi="Century Gothic"/>
        </w:rPr>
        <w:t xml:space="preserve"> Account Manager is </w:t>
      </w:r>
      <w:r>
        <w:rPr>
          <w:rFonts w:ascii="Century Gothic" w:hAnsi="Century Gothic"/>
        </w:rPr>
        <w:t>assigned</w:t>
      </w:r>
      <w:r w:rsidRPr="00267195">
        <w:rPr>
          <w:rFonts w:ascii="Century Gothic" w:hAnsi="Century Gothic"/>
        </w:rPr>
        <w:t xml:space="preserve"> to the Delivery Partner to manage the ongoing relationship and ensure all elements of the programme are delivered as agreed under th</w:t>
      </w:r>
      <w:r>
        <w:rPr>
          <w:rFonts w:ascii="Century Gothic" w:hAnsi="Century Gothic"/>
        </w:rPr>
        <w:t>e</w:t>
      </w:r>
      <w:r w:rsidRPr="00267195">
        <w:rPr>
          <w:rFonts w:ascii="Century Gothic" w:hAnsi="Century Gothic"/>
        </w:rPr>
        <w:t xml:space="preserve"> contract. In addition to this the Delivery Partner will meet with </w:t>
      </w:r>
      <w:r>
        <w:rPr>
          <w:rFonts w:ascii="Century Gothic" w:hAnsi="Century Gothic"/>
        </w:rPr>
        <w:t>the senior contract management</w:t>
      </w:r>
      <w:r w:rsidRPr="00267195">
        <w:rPr>
          <w:rFonts w:ascii="Century Gothic" w:hAnsi="Century Gothic"/>
        </w:rPr>
        <w:t xml:space="preserve"> team on a quarterly basis to review performance against contract and manage expectations.</w:t>
      </w:r>
    </w:p>
    <w:p w14:paraId="2DB064EA" w14:textId="1E069FCC" w:rsidR="004F6EB5" w:rsidRDefault="00267195" w:rsidP="001E1B44">
      <w:pPr>
        <w:rPr>
          <w:rFonts w:ascii="Century Gothic" w:hAnsi="Century Gothic"/>
        </w:rPr>
      </w:pPr>
      <w:r w:rsidRPr="00267195">
        <w:rPr>
          <w:rFonts w:ascii="Century Gothic" w:hAnsi="Century Gothic"/>
        </w:rPr>
        <w:t xml:space="preserve">Administration of the contract on a monthly basis will include reconciliation of costs against delivery, checking of progression of all learners linked to the contract and processing of payments against </w:t>
      </w:r>
      <w:r w:rsidR="00131D52">
        <w:rPr>
          <w:rFonts w:ascii="Century Gothic" w:hAnsi="Century Gothic"/>
        </w:rPr>
        <w:t>DFE</w:t>
      </w:r>
      <w:r w:rsidRPr="00267195">
        <w:rPr>
          <w:rFonts w:ascii="Century Gothic" w:hAnsi="Century Gothic"/>
        </w:rPr>
        <w:t xml:space="preserve"> claim returns.</w:t>
      </w:r>
    </w:p>
    <w:p w14:paraId="631C3435" w14:textId="77777777" w:rsidR="00133690" w:rsidRPr="00133690" w:rsidRDefault="00BF3305" w:rsidP="00133690">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1" w:name="_Toc149309396"/>
      <w:r>
        <w:rPr>
          <w:rFonts w:ascii="Century Gothic" w:hAnsi="Century Gothic" w:cs="Tahoma"/>
          <w:color w:val="290076"/>
          <w:sz w:val="28"/>
          <w:szCs w:val="28"/>
        </w:rPr>
        <w:t>Review</w:t>
      </w:r>
      <w:bookmarkEnd w:id="21"/>
    </w:p>
    <w:p w14:paraId="4C0BAEDE" w14:textId="77777777" w:rsidR="00E82381" w:rsidRPr="001E1B44" w:rsidRDefault="00BF3305" w:rsidP="00BF3305">
      <w:pPr>
        <w:jc w:val="both"/>
        <w:rPr>
          <w:rFonts w:ascii="Century Gothic" w:hAnsi="Century Gothic"/>
        </w:rPr>
      </w:pPr>
      <w:r w:rsidRPr="00BF3305">
        <w:rPr>
          <w:rFonts w:ascii="Century Gothic" w:hAnsi="Century Gothic"/>
        </w:rPr>
        <w:t>Th</w:t>
      </w:r>
      <w:r w:rsidR="00E82381">
        <w:rPr>
          <w:rFonts w:ascii="Century Gothic" w:hAnsi="Century Gothic"/>
        </w:rPr>
        <w:t>is</w:t>
      </w:r>
      <w:r w:rsidRPr="00BF3305">
        <w:rPr>
          <w:rFonts w:ascii="Century Gothic" w:hAnsi="Century Gothic"/>
        </w:rPr>
        <w:t xml:space="preserve"> policy </w:t>
      </w:r>
      <w:r w:rsidR="00E82381">
        <w:rPr>
          <w:rFonts w:ascii="Century Gothic" w:hAnsi="Century Gothic"/>
        </w:rPr>
        <w:t>and the Supply Chain Fees values are</w:t>
      </w:r>
      <w:r w:rsidRPr="00BF3305">
        <w:rPr>
          <w:rFonts w:ascii="Century Gothic" w:hAnsi="Century Gothic"/>
        </w:rPr>
        <w:t xml:space="preserve"> </w:t>
      </w:r>
      <w:r w:rsidR="00E82381">
        <w:rPr>
          <w:rFonts w:ascii="Century Gothic" w:hAnsi="Century Gothic"/>
        </w:rPr>
        <w:t>reviewed</w:t>
      </w:r>
      <w:r w:rsidRPr="00BF3305">
        <w:rPr>
          <w:rFonts w:ascii="Century Gothic" w:hAnsi="Century Gothic"/>
        </w:rPr>
        <w:t xml:space="preserve"> and published </w:t>
      </w:r>
      <w:r w:rsidR="00482E56">
        <w:rPr>
          <w:rFonts w:ascii="Century Gothic" w:hAnsi="Century Gothic"/>
        </w:rPr>
        <w:t>by 31</w:t>
      </w:r>
      <w:r w:rsidR="00482E56" w:rsidRPr="00482E56">
        <w:rPr>
          <w:rFonts w:ascii="Century Gothic" w:hAnsi="Century Gothic"/>
          <w:vertAlign w:val="superscript"/>
        </w:rPr>
        <w:t>st</w:t>
      </w:r>
      <w:r w:rsidR="00482E56">
        <w:rPr>
          <w:rFonts w:ascii="Century Gothic" w:hAnsi="Century Gothic"/>
        </w:rPr>
        <w:t xml:space="preserve"> October annually</w:t>
      </w:r>
      <w:r w:rsidR="00E82381">
        <w:rPr>
          <w:rFonts w:ascii="Century Gothic" w:hAnsi="Century Gothic"/>
        </w:rPr>
        <w:t xml:space="preserve"> </w:t>
      </w:r>
      <w:r w:rsidRPr="00BF3305">
        <w:rPr>
          <w:rFonts w:ascii="Century Gothic" w:hAnsi="Century Gothic"/>
        </w:rPr>
        <w:t xml:space="preserve">on </w:t>
      </w:r>
      <w:r w:rsidR="00E82381">
        <w:rPr>
          <w:rFonts w:ascii="Century Gothic" w:hAnsi="Century Gothic"/>
        </w:rPr>
        <w:t>WBTC’s</w:t>
      </w:r>
      <w:r w:rsidRPr="00BF3305">
        <w:rPr>
          <w:rFonts w:ascii="Century Gothic" w:hAnsi="Century Gothic"/>
        </w:rPr>
        <w:t xml:space="preserve"> website at </w:t>
      </w:r>
      <w:hyperlink r:id="rId8" w:history="1">
        <w:r w:rsidRPr="00BF3305">
          <w:rPr>
            <w:rStyle w:val="Hyperlink"/>
            <w:rFonts w:ascii="Century Gothic" w:hAnsi="Century Gothic"/>
          </w:rPr>
          <w:t>http://www.wbtc-uk.com/policies-procedures</w:t>
        </w:r>
      </w:hyperlink>
      <w:r w:rsidRPr="00BF3305">
        <w:rPr>
          <w:rFonts w:ascii="Century Gothic" w:hAnsi="Century Gothic"/>
        </w:rPr>
        <w:t xml:space="preserve"> </w:t>
      </w:r>
    </w:p>
    <w:p w14:paraId="77405DC7" w14:textId="77777777" w:rsidR="00BF3305" w:rsidRPr="00BF3305" w:rsidRDefault="00BF3305" w:rsidP="00BF3305">
      <w:pPr>
        <w:jc w:val="both"/>
        <w:rPr>
          <w:rFonts w:ascii="Century Gothic" w:hAnsi="Century Gothic"/>
          <w:b/>
        </w:rPr>
      </w:pPr>
      <w:r w:rsidRPr="00BF3305">
        <w:rPr>
          <w:rFonts w:ascii="Century Gothic" w:hAnsi="Century Gothic"/>
          <w:b/>
        </w:rPr>
        <w:t>Subcontractor Declaration by WBTC Board</w:t>
      </w:r>
    </w:p>
    <w:p w14:paraId="7B5A810B" w14:textId="77777777" w:rsidR="00BF3305" w:rsidRPr="00BF3305" w:rsidRDefault="00BF3305" w:rsidP="00BF3305">
      <w:pPr>
        <w:jc w:val="both"/>
        <w:rPr>
          <w:rFonts w:ascii="Century Gothic" w:hAnsi="Century Gothic"/>
          <w:i/>
        </w:rPr>
      </w:pPr>
      <w:r w:rsidRPr="00BF3305">
        <w:rPr>
          <w:rFonts w:ascii="Century Gothic" w:hAnsi="Century Gothic"/>
          <w:i/>
        </w:rPr>
        <w:t xml:space="preserve">Your governing body / board of directors and your accounting officer (senior responsible person) must be satisfied that all subcontracting you undertake meets your strategic aims and enhances the quality of your offer to learners. Examples of the senior responsible person </w:t>
      </w:r>
      <w:proofErr w:type="gramStart"/>
      <w:r w:rsidRPr="00BF3305">
        <w:rPr>
          <w:rFonts w:ascii="Century Gothic" w:hAnsi="Century Gothic"/>
          <w:i/>
        </w:rPr>
        <w:t>are:</w:t>
      </w:r>
      <w:proofErr w:type="gramEnd"/>
      <w:r w:rsidRPr="00BF3305">
        <w:rPr>
          <w:rFonts w:ascii="Century Gothic" w:hAnsi="Century Gothic"/>
          <w:i/>
        </w:rPr>
        <w:t xml:space="preserve"> chief executive, </w:t>
      </w:r>
      <w:r w:rsidR="0066026B">
        <w:rPr>
          <w:rFonts w:ascii="Century Gothic" w:hAnsi="Century Gothic"/>
          <w:i/>
        </w:rPr>
        <w:t>executive</w:t>
      </w:r>
      <w:r w:rsidRPr="00BF3305">
        <w:rPr>
          <w:rFonts w:ascii="Century Gothic" w:hAnsi="Century Gothic"/>
          <w:i/>
        </w:rPr>
        <w:t xml:space="preserve"> director, principal or their equivalent. The reasons for </w:t>
      </w:r>
      <w:r w:rsidRPr="00BF3305">
        <w:rPr>
          <w:rFonts w:ascii="Century Gothic" w:hAnsi="Century Gothic"/>
          <w:i/>
        </w:rPr>
        <w:lastRenderedPageBreak/>
        <w:t xml:space="preserve">subcontracting set out in your published supply chain revenues and charges policy should reflect your strategic aims. You must not subcontract to meet short-term funding objectives. </w:t>
      </w:r>
    </w:p>
    <w:p w14:paraId="5A15769C" w14:textId="40F13294" w:rsidR="00BF3305" w:rsidRPr="00BF3305" w:rsidRDefault="00BF3305" w:rsidP="00BF3305">
      <w:pPr>
        <w:jc w:val="both"/>
        <w:rPr>
          <w:rFonts w:ascii="Century Gothic" w:hAnsi="Century Gothic"/>
          <w:i/>
        </w:rPr>
      </w:pPr>
      <w:r w:rsidRPr="00BF3305">
        <w:rPr>
          <w:rFonts w:ascii="Century Gothic" w:hAnsi="Century Gothic"/>
          <w:i/>
        </w:rPr>
        <w:t xml:space="preserve">Minutes of governing body / board of </w:t>
      </w:r>
      <w:r w:rsidR="00894F5E" w:rsidRPr="00BF3305">
        <w:rPr>
          <w:rFonts w:ascii="Century Gothic" w:hAnsi="Century Gothic"/>
          <w:i/>
        </w:rPr>
        <w:t>directors’</w:t>
      </w:r>
      <w:r w:rsidRPr="00BF3305">
        <w:rPr>
          <w:rFonts w:ascii="Century Gothic" w:hAnsi="Century Gothic"/>
          <w:i/>
        </w:rPr>
        <w:t xml:space="preserve"> meetings and written evidence of accounting officer (senior responsible person) sign-off. The strategic aim should reflect the reasons for subcontracting set out in the published revenues and charges policy. </w:t>
      </w:r>
    </w:p>
    <w:p w14:paraId="04742301" w14:textId="77777777" w:rsidR="00BF3305" w:rsidRPr="00BF3305" w:rsidRDefault="00BF3305" w:rsidP="00BF3305">
      <w:pPr>
        <w:jc w:val="both"/>
        <w:rPr>
          <w:rFonts w:ascii="Century Gothic" w:hAnsi="Century Gothic"/>
          <w:b/>
        </w:rPr>
      </w:pPr>
      <w:r w:rsidRPr="00BF3305">
        <w:rPr>
          <w:rFonts w:ascii="Century Gothic" w:hAnsi="Century Gothic"/>
          <w:b/>
        </w:rPr>
        <w:t>Declaration</w:t>
      </w:r>
    </w:p>
    <w:p w14:paraId="766F9927" w14:textId="77777777" w:rsidR="00BF3305" w:rsidRPr="00BF3305" w:rsidRDefault="00BF3305" w:rsidP="00BF3305">
      <w:pPr>
        <w:jc w:val="both"/>
        <w:rPr>
          <w:rFonts w:ascii="Century Gothic" w:hAnsi="Century Gothic"/>
        </w:rPr>
      </w:pPr>
      <w:r w:rsidRPr="00BF3305">
        <w:rPr>
          <w:rFonts w:ascii="Century Gothic" w:hAnsi="Century Gothic"/>
        </w:rPr>
        <w:t>On behalf of the Trustees &amp; Directors of WBTC we hereby authorise the Executive Director to enter into subcontracting arrangements with the providers and to the amounts detailed above within this policy. The Trustees &amp; Directors authorise subcontracting arrangements in order to meet the specific needs of our employers, raise quality standards and meet the charitable objectives of WBTC.</w:t>
      </w:r>
    </w:p>
    <w:p w14:paraId="32536B6C"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A23291">
      <w:headerReference w:type="even" r:id="rId9"/>
      <w:headerReference w:type="default" r:id="rId10"/>
      <w:footerReference w:type="even" r:id="rId11"/>
      <w:footerReference w:type="default" r:id="rId12"/>
      <w:headerReference w:type="first" r:id="rId13"/>
      <w:footerReference w:type="first" r:id="rId14"/>
      <w:pgSz w:w="11906" w:h="16838"/>
      <w:pgMar w:top="185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DA9F" w14:textId="77777777" w:rsidR="000D5D0E" w:rsidRDefault="000D5D0E" w:rsidP="009F2E46">
      <w:pPr>
        <w:spacing w:after="0" w:line="240" w:lineRule="auto"/>
      </w:pPr>
      <w:r>
        <w:separator/>
      </w:r>
    </w:p>
  </w:endnote>
  <w:endnote w:type="continuationSeparator" w:id="0">
    <w:p w14:paraId="69B84E1F" w14:textId="77777777" w:rsidR="000D5D0E" w:rsidRDefault="000D5D0E"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A75A" w14:textId="77777777" w:rsidR="00195BE8" w:rsidRDefault="0019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6ABBE851" w14:textId="529E6F63" w:rsidR="004F6EB5" w:rsidRPr="003A1200" w:rsidRDefault="004F6EB5"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FE065F" w:rsidRPr="00FE065F">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A23291">
          <w:rPr>
            <w:rFonts w:ascii="Century Gothic" w:hAnsi="Century Gothic"/>
            <w:color w:val="7F7F7F" w:themeColor="background1" w:themeShade="7F"/>
            <w:spacing w:val="60"/>
            <w:sz w:val="18"/>
            <w:szCs w:val="18"/>
          </w:rPr>
          <w:tab/>
        </w:r>
        <w:r w:rsidR="00A23291">
          <w:rPr>
            <w:rFonts w:ascii="Century Gothic" w:hAnsi="Century Gothic"/>
            <w:color w:val="7F7F7F" w:themeColor="background1" w:themeShade="7F"/>
            <w:spacing w:val="60"/>
            <w:sz w:val="18"/>
            <w:szCs w:val="18"/>
          </w:rPr>
          <w:tab/>
        </w:r>
        <w:r w:rsidR="00A23291" w:rsidRPr="00A23291">
          <w:rPr>
            <w:rStyle w:val="1bodycopy10ptChar"/>
            <w:rFonts w:ascii="Century Gothic" w:hAnsi="Century Gothic"/>
            <w:sz w:val="18"/>
            <w:szCs w:val="18"/>
          </w:rPr>
          <w:t>P31/0</w:t>
        </w:r>
        <w:r w:rsidR="00022020">
          <w:rPr>
            <w:rStyle w:val="1bodycopy10ptChar"/>
            <w:rFonts w:ascii="Century Gothic" w:hAnsi="Century Gothic"/>
            <w:sz w:val="18"/>
            <w:szCs w:val="18"/>
          </w:rPr>
          <w:t>3</w:t>
        </w:r>
        <w:r w:rsidR="00A23291" w:rsidRPr="00A23291">
          <w:rPr>
            <w:rStyle w:val="1bodycopy10ptChar"/>
            <w:rFonts w:ascii="Century Gothic" w:hAnsi="Century Gothic"/>
            <w:sz w:val="18"/>
            <w:szCs w:val="18"/>
          </w:rPr>
          <w:t>/</w:t>
        </w:r>
        <w:r w:rsidR="00195BE8">
          <w:rPr>
            <w:rStyle w:val="1bodycopy10ptChar"/>
            <w:rFonts w:ascii="Century Gothic" w:hAnsi="Century Gothic"/>
            <w:sz w:val="18"/>
            <w:szCs w:val="18"/>
          </w:rPr>
          <w:t>Jul2</w:t>
        </w:r>
        <w:r w:rsidR="00022020">
          <w:rPr>
            <w:rStyle w:val="1bodycopy10ptChar"/>
            <w:rFonts w:ascii="Century Gothic" w:hAnsi="Century Gothic"/>
            <w:sz w:val="18"/>
            <w:szCs w:val="18"/>
          </w:rPr>
          <w:t>5</w:t>
        </w:r>
      </w:p>
      <w:p w14:paraId="45CC58AC" w14:textId="77777777" w:rsidR="004F6EB5" w:rsidRDefault="004F6EB5"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4B7291E1" w14:textId="77777777" w:rsidR="004F6EB5" w:rsidRDefault="004F6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F495" w14:textId="77777777" w:rsidR="00195BE8" w:rsidRDefault="0019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4605" w14:textId="77777777" w:rsidR="000D5D0E" w:rsidRDefault="000D5D0E" w:rsidP="009F2E46">
      <w:pPr>
        <w:spacing w:after="0" w:line="240" w:lineRule="auto"/>
      </w:pPr>
      <w:r>
        <w:separator/>
      </w:r>
    </w:p>
  </w:footnote>
  <w:footnote w:type="continuationSeparator" w:id="0">
    <w:p w14:paraId="073B39EE" w14:textId="77777777" w:rsidR="000D5D0E" w:rsidRDefault="000D5D0E"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6602" w14:textId="77777777" w:rsidR="00195BE8" w:rsidRDefault="0019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299F" w14:textId="77777777" w:rsidR="004F6EB5" w:rsidRDefault="00427F7D" w:rsidP="00427F7D">
    <w:pPr>
      <w:pStyle w:val="Header"/>
      <w:jc w:val="right"/>
    </w:pPr>
    <w:r>
      <w:rPr>
        <w:noProof/>
        <w:lang w:eastAsia="en-GB"/>
      </w:rPr>
      <w:drawing>
        <wp:anchor distT="0" distB="0" distL="114300" distR="114300" simplePos="0" relativeHeight="251658240" behindDoc="1" locked="0" layoutInCell="1" allowOverlap="1" wp14:anchorId="2B311BC9" wp14:editId="1603B5BB">
          <wp:simplePos x="0" y="0"/>
          <wp:positionH relativeFrom="column">
            <wp:posOffset>4663440</wp:posOffset>
          </wp:positionH>
          <wp:positionV relativeFrom="paragraph">
            <wp:posOffset>0</wp:posOffset>
          </wp:positionV>
          <wp:extent cx="1518036" cy="75597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DAB6" w14:textId="77777777" w:rsidR="00195BE8" w:rsidRDefault="0019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2E0C038C"/>
    <w:lvl w:ilvl="0" w:tplc="E124D768">
      <w:start w:val="1"/>
      <w:numFmt w:val="decimal"/>
      <w:lvlText w:val="%1."/>
      <w:lvlJc w:val="left"/>
      <w:pPr>
        <w:ind w:left="360" w:hanging="360"/>
      </w:pPr>
      <w:rPr>
        <w:rFonts w:hint="default"/>
      </w:rPr>
    </w:lvl>
    <w:lvl w:ilvl="1" w:tplc="BF1661D0">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22447"/>
    <w:multiLevelType w:val="hybridMultilevel"/>
    <w:tmpl w:val="CD6667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C6E63"/>
    <w:multiLevelType w:val="hybridMultilevel"/>
    <w:tmpl w:val="91DC47AE"/>
    <w:lvl w:ilvl="0" w:tplc="A3545CEE">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13D0CEC"/>
    <w:multiLevelType w:val="hybridMultilevel"/>
    <w:tmpl w:val="A516CB8A"/>
    <w:lvl w:ilvl="0" w:tplc="08090001">
      <w:start w:val="1"/>
      <w:numFmt w:val="bullet"/>
      <w:lvlText w:val=""/>
      <w:lvlJc w:val="left"/>
      <w:pPr>
        <w:ind w:left="720" w:hanging="360"/>
      </w:pPr>
      <w:rPr>
        <w:rFonts w:ascii="Symbol" w:hAnsi="Symbol" w:hint="default"/>
      </w:rPr>
    </w:lvl>
    <w:lvl w:ilvl="1" w:tplc="48CE5BD8">
      <w:start w:val="4"/>
      <w:numFmt w:val="bullet"/>
      <w:lvlText w:val="•"/>
      <w:lvlJc w:val="left"/>
      <w:pPr>
        <w:ind w:left="1644" w:hanging="564"/>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73DE6"/>
    <w:multiLevelType w:val="hybridMultilevel"/>
    <w:tmpl w:val="D14E5322"/>
    <w:lvl w:ilvl="0" w:tplc="A3545CEE">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44CFD"/>
    <w:multiLevelType w:val="hybridMultilevel"/>
    <w:tmpl w:val="728AA8C2"/>
    <w:lvl w:ilvl="0" w:tplc="A3545CEE">
      <w:start w:val="1"/>
      <w:numFmt w:val="decimal"/>
      <w:lvlText w:val="%1."/>
      <w:lvlJc w:val="left"/>
      <w:pPr>
        <w:ind w:left="588" w:hanging="58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C25D45"/>
    <w:multiLevelType w:val="hybridMultilevel"/>
    <w:tmpl w:val="B9405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F04E1"/>
    <w:multiLevelType w:val="hybridMultilevel"/>
    <w:tmpl w:val="B7BC5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F061B"/>
    <w:multiLevelType w:val="hybridMultilevel"/>
    <w:tmpl w:val="E41EC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F0269"/>
    <w:multiLevelType w:val="hybridMultilevel"/>
    <w:tmpl w:val="6376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2D4CF1"/>
    <w:multiLevelType w:val="hybridMultilevel"/>
    <w:tmpl w:val="0E1C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E546CF"/>
    <w:multiLevelType w:val="hybridMultilevel"/>
    <w:tmpl w:val="5846FC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44" w:hanging="56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60D105CC"/>
    <w:multiLevelType w:val="hybridMultilevel"/>
    <w:tmpl w:val="237C8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AF0E58"/>
    <w:multiLevelType w:val="hybridMultilevel"/>
    <w:tmpl w:val="FA7AD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CA756F"/>
    <w:multiLevelType w:val="hybridMultilevel"/>
    <w:tmpl w:val="D7BCE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45876"/>
    <w:multiLevelType w:val="hybridMultilevel"/>
    <w:tmpl w:val="E828CA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44" w:hanging="56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B7EEB"/>
    <w:multiLevelType w:val="hybridMultilevel"/>
    <w:tmpl w:val="AD86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70F64"/>
    <w:multiLevelType w:val="hybridMultilevel"/>
    <w:tmpl w:val="5934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03870">
    <w:abstractNumId w:val="16"/>
  </w:num>
  <w:num w:numId="2" w16cid:durableId="513307984">
    <w:abstractNumId w:val="11"/>
  </w:num>
  <w:num w:numId="3" w16cid:durableId="1138644205">
    <w:abstractNumId w:val="30"/>
  </w:num>
  <w:num w:numId="4" w16cid:durableId="48844996">
    <w:abstractNumId w:val="28"/>
  </w:num>
  <w:num w:numId="5" w16cid:durableId="2028015636">
    <w:abstractNumId w:val="2"/>
  </w:num>
  <w:num w:numId="6" w16cid:durableId="65762077">
    <w:abstractNumId w:val="16"/>
    <w:lvlOverride w:ilvl="0">
      <w:startOverride w:val="1"/>
    </w:lvlOverride>
  </w:num>
  <w:num w:numId="7" w16cid:durableId="2007972854">
    <w:abstractNumId w:val="16"/>
    <w:lvlOverride w:ilvl="0">
      <w:startOverride w:val="1"/>
    </w:lvlOverride>
  </w:num>
  <w:num w:numId="8" w16cid:durableId="157619187">
    <w:abstractNumId w:val="22"/>
  </w:num>
  <w:num w:numId="9" w16cid:durableId="827287969">
    <w:abstractNumId w:val="8"/>
  </w:num>
  <w:num w:numId="10" w16cid:durableId="340355500">
    <w:abstractNumId w:val="9"/>
  </w:num>
  <w:num w:numId="11" w16cid:durableId="543979806">
    <w:abstractNumId w:val="25"/>
  </w:num>
  <w:num w:numId="12" w16cid:durableId="1832215955">
    <w:abstractNumId w:val="35"/>
  </w:num>
  <w:num w:numId="13" w16cid:durableId="1075400006">
    <w:abstractNumId w:val="1"/>
  </w:num>
  <w:num w:numId="14" w16cid:durableId="1617567428">
    <w:abstractNumId w:val="27"/>
  </w:num>
  <w:num w:numId="15" w16cid:durableId="2142535211">
    <w:abstractNumId w:val="41"/>
  </w:num>
  <w:num w:numId="16" w16cid:durableId="304819194">
    <w:abstractNumId w:val="29"/>
  </w:num>
  <w:num w:numId="17" w16cid:durableId="1327325681">
    <w:abstractNumId w:val="10"/>
  </w:num>
  <w:num w:numId="18" w16cid:durableId="943730196">
    <w:abstractNumId w:val="12"/>
  </w:num>
  <w:num w:numId="19" w16cid:durableId="1805343331">
    <w:abstractNumId w:val="18"/>
  </w:num>
  <w:num w:numId="20" w16cid:durableId="404911717">
    <w:abstractNumId w:val="39"/>
  </w:num>
  <w:num w:numId="21" w16cid:durableId="613905192">
    <w:abstractNumId w:val="3"/>
  </w:num>
  <w:num w:numId="22" w16cid:durableId="739981">
    <w:abstractNumId w:val="17"/>
  </w:num>
  <w:num w:numId="23" w16cid:durableId="1632324090">
    <w:abstractNumId w:val="20"/>
  </w:num>
  <w:num w:numId="24" w16cid:durableId="1912226438">
    <w:abstractNumId w:val="34"/>
  </w:num>
  <w:num w:numId="25" w16cid:durableId="147407159">
    <w:abstractNumId w:val="40"/>
  </w:num>
  <w:num w:numId="26" w16cid:durableId="98182021">
    <w:abstractNumId w:val="24"/>
  </w:num>
  <w:num w:numId="27" w16cid:durableId="1289050640">
    <w:abstractNumId w:val="0"/>
  </w:num>
  <w:num w:numId="28" w16cid:durableId="1143428604">
    <w:abstractNumId w:val="4"/>
  </w:num>
  <w:num w:numId="29" w16cid:durableId="2078702577">
    <w:abstractNumId w:val="6"/>
  </w:num>
  <w:num w:numId="30" w16cid:durableId="1058625710">
    <w:abstractNumId w:val="37"/>
  </w:num>
  <w:num w:numId="31" w16cid:durableId="1442841535">
    <w:abstractNumId w:val="13"/>
  </w:num>
  <w:num w:numId="32" w16cid:durableId="1919173441">
    <w:abstractNumId w:val="5"/>
  </w:num>
  <w:num w:numId="33" w16cid:durableId="1671374970">
    <w:abstractNumId w:val="7"/>
  </w:num>
  <w:num w:numId="34" w16cid:durableId="1161771096">
    <w:abstractNumId w:val="15"/>
  </w:num>
  <w:num w:numId="35" w16cid:durableId="1198854261">
    <w:abstractNumId w:val="33"/>
  </w:num>
  <w:num w:numId="36" w16cid:durableId="2088964764">
    <w:abstractNumId w:val="19"/>
  </w:num>
  <w:num w:numId="37" w16cid:durableId="1570266712">
    <w:abstractNumId w:val="36"/>
  </w:num>
  <w:num w:numId="38" w16cid:durableId="370693368">
    <w:abstractNumId w:val="26"/>
  </w:num>
  <w:num w:numId="39" w16cid:durableId="1481001630">
    <w:abstractNumId w:val="14"/>
  </w:num>
  <w:num w:numId="40" w16cid:durableId="2014993281">
    <w:abstractNumId w:val="32"/>
  </w:num>
  <w:num w:numId="41" w16cid:durableId="809325392">
    <w:abstractNumId w:val="31"/>
  </w:num>
  <w:num w:numId="42" w16cid:durableId="1179274499">
    <w:abstractNumId w:val="38"/>
  </w:num>
  <w:num w:numId="43" w16cid:durableId="1809276155">
    <w:abstractNumId w:val="21"/>
  </w:num>
  <w:num w:numId="44" w16cid:durableId="1644657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070ED"/>
    <w:rsid w:val="00022020"/>
    <w:rsid w:val="00023D05"/>
    <w:rsid w:val="0009613E"/>
    <w:rsid w:val="000A6B00"/>
    <w:rsid w:val="000D5D0E"/>
    <w:rsid w:val="00131D52"/>
    <w:rsid w:val="00133690"/>
    <w:rsid w:val="00195BE8"/>
    <w:rsid w:val="001E1B44"/>
    <w:rsid w:val="00267195"/>
    <w:rsid w:val="002724F7"/>
    <w:rsid w:val="002A7AE7"/>
    <w:rsid w:val="002E21BA"/>
    <w:rsid w:val="002F1827"/>
    <w:rsid w:val="00313563"/>
    <w:rsid w:val="00376EEA"/>
    <w:rsid w:val="003A06B7"/>
    <w:rsid w:val="003A1200"/>
    <w:rsid w:val="003D376C"/>
    <w:rsid w:val="00427F7D"/>
    <w:rsid w:val="00461F6F"/>
    <w:rsid w:val="00464944"/>
    <w:rsid w:val="00481E23"/>
    <w:rsid w:val="00482E56"/>
    <w:rsid w:val="004E55AE"/>
    <w:rsid w:val="004F6EB5"/>
    <w:rsid w:val="00514072"/>
    <w:rsid w:val="00534E6A"/>
    <w:rsid w:val="00546EAC"/>
    <w:rsid w:val="00623957"/>
    <w:rsid w:val="00625B53"/>
    <w:rsid w:val="0066026B"/>
    <w:rsid w:val="00680202"/>
    <w:rsid w:val="00684286"/>
    <w:rsid w:val="007A7517"/>
    <w:rsid w:val="007F367A"/>
    <w:rsid w:val="007F605F"/>
    <w:rsid w:val="008223F4"/>
    <w:rsid w:val="008577AC"/>
    <w:rsid w:val="008808DE"/>
    <w:rsid w:val="00894F5E"/>
    <w:rsid w:val="00897D79"/>
    <w:rsid w:val="008A2E66"/>
    <w:rsid w:val="008B386D"/>
    <w:rsid w:val="008B6CBB"/>
    <w:rsid w:val="008D0312"/>
    <w:rsid w:val="008E22CC"/>
    <w:rsid w:val="008E4413"/>
    <w:rsid w:val="00916407"/>
    <w:rsid w:val="009342DA"/>
    <w:rsid w:val="009D10E9"/>
    <w:rsid w:val="009F2E46"/>
    <w:rsid w:val="00A072DD"/>
    <w:rsid w:val="00A15B1C"/>
    <w:rsid w:val="00A23291"/>
    <w:rsid w:val="00A40F9B"/>
    <w:rsid w:val="00AF29FE"/>
    <w:rsid w:val="00B06A19"/>
    <w:rsid w:val="00B14B96"/>
    <w:rsid w:val="00BB6B02"/>
    <w:rsid w:val="00BE1318"/>
    <w:rsid w:val="00BF3305"/>
    <w:rsid w:val="00C24648"/>
    <w:rsid w:val="00C37493"/>
    <w:rsid w:val="00D4169A"/>
    <w:rsid w:val="00D57DF0"/>
    <w:rsid w:val="00DB7CB6"/>
    <w:rsid w:val="00E03897"/>
    <w:rsid w:val="00E229E8"/>
    <w:rsid w:val="00E82381"/>
    <w:rsid w:val="00E946DD"/>
    <w:rsid w:val="00EC1254"/>
    <w:rsid w:val="00F862CB"/>
    <w:rsid w:val="00F975C1"/>
    <w:rsid w:val="00FA19B0"/>
    <w:rsid w:val="00FA2AE4"/>
    <w:rsid w:val="00FE065F"/>
    <w:rsid w:val="00FE41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DCB12"/>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table" w:customStyle="1" w:styleId="TableGrid1">
    <w:name w:val="Table Grid1"/>
    <w:basedOn w:val="TableNormal"/>
    <w:next w:val="TableGrid"/>
    <w:uiPriority w:val="39"/>
    <w:rsid w:val="00BF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4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tc-uk.com/policies-procedu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68A7D-9EC4-4B08-B5AB-D8DAF092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1344</Words>
  <Characters>7667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2</cp:revision>
  <dcterms:created xsi:type="dcterms:W3CDTF">2025-07-16T16:35:00Z</dcterms:created>
  <dcterms:modified xsi:type="dcterms:W3CDTF">2025-07-16T16:35:00Z</dcterms:modified>
</cp:coreProperties>
</file>